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/>
          <w:spacing w:val="202"/>
          <w:kern w:val="0"/>
          <w:sz w:val="21"/>
          <w:szCs w:val="21"/>
          <w:fitText w:val="5742" w:id="1450529788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000000"/>
          <w:spacing w:val="3"/>
          <w:kern w:val="0"/>
          <w:sz w:val="21"/>
          <w:szCs w:val="21"/>
          <w:fitText w:val="5742" w:id="1450529788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000000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国市监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处罚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402" w:firstLineChars="197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腾讯控股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有限公司（Tencent Holding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Limited）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402" w:firstLineChars="197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住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所：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开曼群岛哈金斯大道克里奇广场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2681邮箱（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Cricket Square Hutchins Drive P.O.Box 2681 Grand Cayman KYI-1111 Cayman Islands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根据《中华人民共和国反垄断法》（以下简称《反垄断法》）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《经营者集中审查暂行规定》，本机关于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月1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腾讯控股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有限公司（Tencent Holding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Limited</w:t>
      </w:r>
      <w:r>
        <w:rPr>
          <w:rFonts w:hint="eastAsia" w:ascii="微软雅黑" w:hAnsi="微软雅黑" w:eastAsia="微软雅黑" w:cs="微软雅黑"/>
          <w:sz w:val="21"/>
          <w:szCs w:val="21"/>
        </w:rPr>
        <w:t>，以下简称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sz w:val="21"/>
          <w:szCs w:val="21"/>
        </w:rPr>
        <w:t>）收购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北京北半球国际文化传播</w:t>
      </w:r>
      <w:r>
        <w:rPr>
          <w:rFonts w:hint="eastAsia" w:ascii="微软雅黑" w:hAnsi="微软雅黑" w:eastAsia="微软雅黑" w:cs="微软雅黑"/>
          <w:sz w:val="21"/>
          <w:szCs w:val="21"/>
        </w:rPr>
        <w:t>有限公司（以下简称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北半球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股权</w:t>
      </w:r>
      <w:r>
        <w:rPr>
          <w:rFonts w:hint="eastAsia" w:ascii="微软雅黑" w:hAnsi="微软雅黑" w:eastAsia="微软雅黑" w:cs="微软雅黑"/>
          <w:sz w:val="21"/>
          <w:szCs w:val="21"/>
        </w:rPr>
        <w:t>涉嫌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违法实施经营者集中案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腾讯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腾讯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  <w:t>（一）交易方。</w:t>
      </w:r>
    </w:p>
    <w:p>
      <w:pPr>
        <w:suppressAutoHyphens/>
        <w:overflowPunct w:val="0"/>
        <w:autoSpaceDE w:val="0"/>
        <w:autoSpaceDN w:val="0"/>
        <w:adjustRightInd w:val="0"/>
        <w:spacing w:after="160" w:line="594" w:lineRule="exact"/>
        <w:ind w:firstLine="408" w:firstLineChars="20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收购方：</w:t>
      </w: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腾讯</w:t>
      </w: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1999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11月于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英属维尔京群岛注册成立，2004年2月迁册至英属开曼群岛，2004年6月在香港联交所上市，通过协议控制境内主要运营实体深圳市腾讯计算机系统有限公司。主要业务包括社交和通信服务、社交网络平台、游戏、网络视频服务、互动娱乐直播等。</w:t>
      </w: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营业额为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亿元人民币（币种下同）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pStyle w:val="9"/>
        <w:spacing w:line="594" w:lineRule="exact"/>
        <w:ind w:firstLine="64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被收购方：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北半球</w:t>
      </w:r>
      <w:r>
        <w:rPr>
          <w:rFonts w:hint="eastAsia" w:ascii="微软雅黑" w:hAnsi="微软雅黑" w:eastAsia="微软雅黑" w:cs="微软雅黑"/>
          <w:sz w:val="21"/>
          <w:szCs w:val="21"/>
        </w:rPr>
        <w:t>。20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12月</w:t>
      </w:r>
      <w:r>
        <w:rPr>
          <w:rFonts w:hint="eastAsia" w:ascii="微软雅黑" w:hAnsi="微软雅黑" w:eastAsia="微软雅黑" w:cs="微软雅黑"/>
          <w:sz w:val="21"/>
          <w:szCs w:val="21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北京市</w:t>
      </w:r>
      <w:r>
        <w:rPr>
          <w:rFonts w:hint="eastAsia" w:ascii="微软雅黑" w:hAnsi="微软雅黑" w:eastAsia="微软雅黑" w:cs="微软雅黑"/>
          <w:sz w:val="21"/>
          <w:szCs w:val="21"/>
        </w:rPr>
        <w:t>注册成立，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由自然人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、经纬创腾（杭州）创业投资合伙企业（有限合伙）（以下简称经纬创腾）</w:t>
      </w:r>
      <w:r>
        <w:rPr>
          <w:rFonts w:hint="eastAsia" w:ascii="微软雅黑" w:hAnsi="微软雅黑" w:eastAsia="微软雅黑" w:cs="微软雅黑"/>
          <w:iCs/>
          <w:sz w:val="21"/>
          <w:szCs w:val="21"/>
          <w:lang w:eastAsia="zh-CN"/>
        </w:rPr>
        <w:t>共同控制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。北半球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主要从事</w:t>
      </w:r>
      <w:r>
        <w:rPr>
          <w:rFonts w:hint="eastAsia" w:ascii="微软雅黑" w:hAnsi="微软雅黑" w:eastAsia="微软雅黑" w:cs="微软雅黑"/>
          <w:sz w:val="21"/>
          <w:szCs w:val="21"/>
        </w:rPr>
        <w:t>综艺节目制作等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业务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年全球和中国</w:t>
      </w:r>
      <w:r>
        <w:rPr>
          <w:rFonts w:hint="eastAsia" w:ascii="微软雅黑" w:hAnsi="微软雅黑" w:eastAsia="微软雅黑" w:cs="微软雅黑"/>
          <w:sz w:val="21"/>
          <w:szCs w:val="21"/>
        </w:rPr>
        <w:t>境内营业额均为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其他参与集中的经营者：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经纬创腾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2015年1月</w:t>
      </w:r>
      <w:r>
        <w:rPr>
          <w:rFonts w:hint="eastAsia" w:ascii="微软雅黑" w:hAnsi="微软雅黑" w:eastAsia="微软雅黑" w:cs="微软雅黑"/>
          <w:sz w:val="21"/>
          <w:szCs w:val="21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浙江省杭州</w:t>
      </w:r>
      <w:r>
        <w:rPr>
          <w:rFonts w:hint="eastAsia" w:ascii="微软雅黑" w:hAnsi="微软雅黑" w:eastAsia="微软雅黑" w:cs="微软雅黑"/>
          <w:sz w:val="21"/>
          <w:szCs w:val="21"/>
        </w:rPr>
        <w:t>市注册成立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主要从事投资与管理业务，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最终控制人为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自然人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经纬创腾</w:t>
      </w: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年全球和中国境内营业额均为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  <w:t>（二）交易概况。</w:t>
      </w:r>
    </w:p>
    <w:p>
      <w:pPr>
        <w:pStyle w:val="9"/>
        <w:spacing w:line="240" w:lineRule="auto"/>
        <w:ind w:firstLine="640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交易系股权收购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2018年6月4日，腾讯通过深圳市腾讯创业基地发展有限公司与北半球、经纬投资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创始股东王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某</w:t>
      </w:r>
      <w:r>
        <w:rPr>
          <w:rFonts w:hint="eastAsia" w:ascii="微软雅黑" w:hAnsi="微软雅黑" w:eastAsia="微软雅黑" w:cs="微软雅黑"/>
          <w:sz w:val="21"/>
          <w:szCs w:val="21"/>
        </w:rPr>
        <w:t>等签署《增资协议》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持有北半球12.5%的股权，取得对北半球的共同控制权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2018年8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Hans" w:bidi="ar-SA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14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Hans" w:bidi="ar-SA"/>
        </w:rPr>
        <w:t>日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本次交易完成股权变更登记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left="0" w:firstLine="408" w:firstLineChars="200"/>
        <w:jc w:val="both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违法实施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对其他经营者的控制权或者能够对其他经营者施加决定性影响”。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腾讯收购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北半球1</w:t>
      </w:r>
      <w:r>
        <w:rPr>
          <w:rFonts w:hint="eastAsia" w:ascii="微软雅黑" w:hAnsi="微软雅黑" w:eastAsia="微软雅黑" w:cs="微软雅黑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5%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的股权，并获得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控制权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，腾讯</w:t>
      </w:r>
      <w:r>
        <w:rPr>
          <w:rFonts w:hint="eastAsia" w:ascii="微软雅黑" w:hAnsi="微软雅黑" w:eastAsia="微软雅黑" w:cs="微软雅黑"/>
          <w:sz w:val="21"/>
          <w:szCs w:val="21"/>
        </w:rPr>
        <w:t>全球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营业额为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中国境内营业额为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其他参与集中的经营者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经纬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创腾全球与中国境内营业额均为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2018年8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Hans" w:bidi="ar-SA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14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Hans" w:bidi="ar-SA"/>
        </w:rPr>
        <w:t>日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上述交易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完成股权变更登记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在此之前未依法申报，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违反《反垄断法》第二十一条，构成未依法申报违法实施的经营者集中。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收购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-SA"/>
        </w:rPr>
        <w:t>北半球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基于调查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情况和评估结论，本机关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现决定对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腾讯处以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0万元的行政处罚。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《行政处罚法》第六十七条规定“作出罚款决定的行政机关应当与收缴罚款的机构分离。除依照本法第六十八条、第六十九条的规定当场收缴的罚款外，作出行政处罚决定的行政机关及其执法人员不得自行收缴罚款。当事人应当自收到行政处罚决定书之日起十五日内，到指定的银行或者通过电子支付系统缴纳罚款。银行应当收受罚款，并将罚款直接上缴国库”。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当事人应当自收到本行政处罚决定书之日起十五日内，携缴款码到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15家中央财政非税收入收缴代理银行（工、农、中、建、交、中信、光大、招商、邮储、华夏、平安、兴业、民生、广发、浙商）任一银行网点、网上银行缴纳罚款。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缴款码：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（略）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Cs/>
          <w:color w:val="000000"/>
          <w:sz w:val="21"/>
          <w:szCs w:val="21"/>
        </w:rPr>
        <w:t>到期不缴纳罚款的，依据《行政处罚法》第七十二条的规定，本机关将每日按罚款数额的百分之三加处罚款,并依法申请人民法院强制执行。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 xml:space="preserve"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（此件公开发布）</w:t>
      </w:r>
    </w:p>
    <w:p>
      <w:pPr>
        <w:pStyle w:val="3"/>
        <w:rPr>
          <w:rFonts w:hint="eastAsia" w:ascii="微软雅黑" w:hAnsi="微软雅黑" w:eastAsia="微软雅黑" w:cs="微软雅黑"/>
          <w:sz w:val="21"/>
          <w:szCs w:val="21"/>
        </w:rPr>
      </w:pPr>
    </w:p>
    <w:bookmarkEnd w:id="0"/>
    <w:sectPr>
      <w:footerReference r:id="rId3" w:type="default"/>
      <w:footerReference r:id="rId4" w:type="even"/>
      <w:pgSz w:w="11906" w:h="16838"/>
      <w:pgMar w:top="18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6991"/>
    <w:rsid w:val="041E5639"/>
    <w:rsid w:val="08E27186"/>
    <w:rsid w:val="0FFFDD56"/>
    <w:rsid w:val="238405CE"/>
    <w:rsid w:val="251F784E"/>
    <w:rsid w:val="2524250D"/>
    <w:rsid w:val="27721479"/>
    <w:rsid w:val="2DE82422"/>
    <w:rsid w:val="2F224A07"/>
    <w:rsid w:val="320A72EE"/>
    <w:rsid w:val="331B0238"/>
    <w:rsid w:val="397E254B"/>
    <w:rsid w:val="3CB33C6A"/>
    <w:rsid w:val="3D973AFE"/>
    <w:rsid w:val="461F2046"/>
    <w:rsid w:val="477829E6"/>
    <w:rsid w:val="49337785"/>
    <w:rsid w:val="50F656A6"/>
    <w:rsid w:val="52820D71"/>
    <w:rsid w:val="552762F9"/>
    <w:rsid w:val="5530063F"/>
    <w:rsid w:val="611E177A"/>
    <w:rsid w:val="634F39C4"/>
    <w:rsid w:val="650659B4"/>
    <w:rsid w:val="6AE367D4"/>
    <w:rsid w:val="6C8B2788"/>
    <w:rsid w:val="6EC37903"/>
    <w:rsid w:val="749E5537"/>
    <w:rsid w:val="76015E5A"/>
    <w:rsid w:val="7F3A7651"/>
    <w:rsid w:val="7FBE3262"/>
    <w:rsid w:val="CFF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xielin</dc:creator>
  <cp:lastModifiedBy>陈永仁</cp:lastModifiedBy>
  <cp:lastPrinted>2022-05-17T00:26:00Z</cp:lastPrinted>
  <dcterms:modified xsi:type="dcterms:W3CDTF">2022-07-11T11:54:29Z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28CAEB986CFA4EA781DB304864330F0B</vt:lpwstr>
  </property>
</Properties>
</file>