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000000"/>
          <w:spacing w:val="202"/>
          <w:kern w:val="0"/>
          <w:sz w:val="21"/>
          <w:szCs w:val="21"/>
          <w:fitText w:val="5742" w:id="1450529788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000000"/>
          <w:spacing w:val="3"/>
          <w:kern w:val="0"/>
          <w:sz w:val="21"/>
          <w:szCs w:val="21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000000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国市监处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腾讯控股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有限公司（Tencent Holding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Limited）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住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所：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开曼群岛哈金斯大道克里奇广场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2681邮箱（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Cricket Square Hutchins Drive P.O.Box 2681 Grand Cayman KYI-1111 Cayman Islands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月1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腾讯控股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有限公司（Tencent Holding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Limited</w:t>
      </w:r>
      <w:r>
        <w:rPr>
          <w:rFonts w:hint="eastAsia" w:ascii="微软雅黑" w:hAnsi="微软雅黑" w:eastAsia="微软雅黑" w:cs="微软雅黑"/>
          <w:sz w:val="21"/>
          <w:szCs w:val="21"/>
        </w:rPr>
        <w:t>，以下简称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</w:t>
      </w:r>
      <w:r>
        <w:rPr>
          <w:rFonts w:hint="eastAsia" w:ascii="微软雅黑" w:hAnsi="微软雅黑" w:eastAsia="微软雅黑" w:cs="微软雅黑"/>
          <w:sz w:val="21"/>
          <w:szCs w:val="21"/>
        </w:rPr>
        <w:t>）收购速波赛尔有限公司（Supercell Oy，以下简称速波赛尔）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股权</w:t>
      </w:r>
      <w:r>
        <w:rPr>
          <w:rFonts w:hint="eastAsia" w:ascii="微软雅黑" w:hAnsi="微软雅黑" w:eastAsia="微软雅黑" w:cs="微软雅黑"/>
          <w:sz w:val="21"/>
          <w:szCs w:val="21"/>
        </w:rPr>
        <w:t>涉嫌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违法实施经营者集中案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腾讯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腾讯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（一）交易方。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after="160"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收购方：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腾讯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1999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11月于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英属维尔京群岛注册成立，2004年2月迁册至英属开曼群岛，2004年6月在香港联交所上市，通过协议控制境内主要运营实体深圳市腾讯计算机系统有限公司。主要业务包括社交和通信服务、社交网络平台、游戏、网络视频服务、互动娱乐直播等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2015年度腾讯全球营业额为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人民币（币种下同），中国境内营业额为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被收购方：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速波赛尔。</w:t>
      </w:r>
      <w:r>
        <w:rPr>
          <w:rFonts w:hint="eastAsia" w:ascii="微软雅黑" w:hAnsi="微软雅黑" w:eastAsia="微软雅黑" w:cs="微软雅黑"/>
          <w:sz w:val="21"/>
          <w:szCs w:val="21"/>
        </w:rPr>
        <w:t>2010年于芬兰赫尔辛基注册成立，主要从事网络游戏研发与运营业务，最终控制人为软银集团。2015年全球营业额为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4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交易系股权收购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</w:rPr>
        <w:t>年6月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21"/>
          <w:szCs w:val="21"/>
        </w:rPr>
        <w:t>日，腾讯通过其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控制</w:t>
      </w:r>
      <w:r>
        <w:rPr>
          <w:rFonts w:hint="eastAsia" w:ascii="微软雅黑" w:hAnsi="微软雅黑" w:eastAsia="微软雅黑" w:cs="微软雅黑"/>
          <w:sz w:val="21"/>
          <w:szCs w:val="21"/>
        </w:rPr>
        <w:t>的特殊目的公司Inari S.à.r.l.与</w:t>
      </w:r>
      <w:r>
        <w:rPr>
          <w:rFonts w:hint="eastAsia" w:ascii="微软雅黑" w:hAnsi="微软雅黑" w:eastAsia="微软雅黑" w:cs="微软雅黑"/>
          <w:sz w:val="21"/>
          <w:szCs w:val="21"/>
        </w:rPr>
        <w:t>速波赛尔</w:t>
      </w:r>
      <w:r>
        <w:rPr>
          <w:rFonts w:hint="eastAsia" w:ascii="微软雅黑" w:hAnsi="微软雅黑" w:eastAsia="微软雅黑" w:cs="微软雅黑"/>
          <w:sz w:val="21"/>
          <w:szCs w:val="21"/>
        </w:rPr>
        <w:t>及其股东等相关方签订股份购买协议，以现金方式获得</w:t>
      </w:r>
      <w:r>
        <w:rPr>
          <w:rFonts w:hint="eastAsia" w:ascii="微软雅黑" w:hAnsi="微软雅黑" w:eastAsia="微软雅黑" w:cs="微软雅黑"/>
          <w:sz w:val="21"/>
          <w:szCs w:val="21"/>
        </w:rPr>
        <w:t>速波赛尔</w:t>
      </w:r>
      <w:r>
        <w:rPr>
          <w:rFonts w:hint="eastAsia" w:ascii="微软雅黑" w:hAnsi="微软雅黑" w:eastAsia="微软雅黑" w:cs="微软雅黑"/>
          <w:sz w:val="21"/>
          <w:szCs w:val="21"/>
        </w:rPr>
        <w:t>76.9%的股份。2016年7月29日完成股权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交割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80" w:lineRule="exact"/>
        <w:ind w:left="0" w:firstLine="408" w:firstLineChars="200"/>
        <w:jc w:val="both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违法实施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对其他经营者的控制权或者能够对其他经营者施加决定性影响”。</w:t>
      </w:r>
      <w:r>
        <w:rPr>
          <w:rFonts w:hint="eastAsia" w:ascii="微软雅黑" w:hAnsi="微软雅黑" w:eastAsia="微软雅黑" w:cs="微软雅黑"/>
          <w:sz w:val="21"/>
          <w:szCs w:val="21"/>
        </w:rPr>
        <w:t>腾讯收购</w:t>
      </w:r>
      <w:r>
        <w:rPr>
          <w:rFonts w:hint="eastAsia" w:ascii="微软雅黑" w:hAnsi="微软雅黑" w:eastAsia="微软雅黑" w:cs="微软雅黑"/>
          <w:sz w:val="21"/>
          <w:szCs w:val="21"/>
        </w:rPr>
        <w:t>速波赛尔</w:t>
      </w:r>
      <w:r>
        <w:rPr>
          <w:rFonts w:hint="eastAsia" w:ascii="微软雅黑" w:hAnsi="微软雅黑" w:eastAsia="微软雅黑" w:cs="微软雅黑"/>
          <w:sz w:val="21"/>
          <w:szCs w:val="21"/>
        </w:rPr>
        <w:t>76.9%的股权并获得对</w:t>
      </w:r>
      <w:r>
        <w:rPr>
          <w:rFonts w:hint="eastAsia" w:ascii="微软雅黑" w:hAnsi="微软雅黑" w:eastAsia="微软雅黑" w:cs="微软雅黑"/>
          <w:sz w:val="21"/>
          <w:szCs w:val="21"/>
        </w:rPr>
        <w:t>速波赛尔</w:t>
      </w:r>
      <w:r>
        <w:rPr>
          <w:rFonts w:hint="eastAsia" w:ascii="微软雅黑" w:hAnsi="微软雅黑" w:eastAsia="微软雅黑" w:cs="微软雅黑"/>
          <w:sz w:val="21"/>
          <w:szCs w:val="21"/>
        </w:rPr>
        <w:t>的控制权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80" w:lineRule="exact"/>
        <w:ind w:left="0" w:firstLine="643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2015年，腾讯全球营业额为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速波赛尔全球营业额为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sz w:val="21"/>
          <w:szCs w:val="21"/>
        </w:rPr>
        <w:t>2016年7月29日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上述交易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完成股权变更登记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在此之前未依法申报，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腾讯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收购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速波赛尔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基于调查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情况和评估结论，本机关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现决定对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腾讯处以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0万元的行政处罚。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当事人应当自收到本行政处罚决定书之日起十五日内，携缴款码到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缴款码：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（略）。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到期不缴纳罚款的，依据《行政处罚法》第七十二条的规定，本机关将每日按罚款数额的百分之三加处罚款,并依法申请人民法院强制执行。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80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80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bookmarkEnd w:id="0"/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02654D32"/>
    <w:rsid w:val="19C71D57"/>
    <w:rsid w:val="238405CE"/>
    <w:rsid w:val="251F784E"/>
    <w:rsid w:val="275158DE"/>
    <w:rsid w:val="27721479"/>
    <w:rsid w:val="2DE82422"/>
    <w:rsid w:val="320A72EE"/>
    <w:rsid w:val="331B0238"/>
    <w:rsid w:val="340C5368"/>
    <w:rsid w:val="3CB33C6A"/>
    <w:rsid w:val="3D973AFE"/>
    <w:rsid w:val="477829E6"/>
    <w:rsid w:val="47FA153B"/>
    <w:rsid w:val="49337785"/>
    <w:rsid w:val="4E746413"/>
    <w:rsid w:val="50F656A6"/>
    <w:rsid w:val="52820D71"/>
    <w:rsid w:val="552762F9"/>
    <w:rsid w:val="60BF4F59"/>
    <w:rsid w:val="60CC71BE"/>
    <w:rsid w:val="611E177A"/>
    <w:rsid w:val="634F39C4"/>
    <w:rsid w:val="642B3D97"/>
    <w:rsid w:val="6A942D68"/>
    <w:rsid w:val="6EC37903"/>
    <w:rsid w:val="76015E5A"/>
    <w:rsid w:val="7F3A7651"/>
    <w:rsid w:val="AB2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xielin</dc:creator>
  <cp:lastModifiedBy>陈永仁</cp:lastModifiedBy>
  <cp:lastPrinted>2022-05-16T14:39:00Z</cp:lastPrinted>
  <dcterms:modified xsi:type="dcterms:W3CDTF">2022-07-11T11:50:04Z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1B25647C9FA04294A3716C4EF3EAF766</vt:lpwstr>
  </property>
</Properties>
</file>