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jc w:val="center"/>
        <w:textAlignment w:val="auto"/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</w:rPr>
      </w:pPr>
      <w:bookmarkStart w:id="0" w:name="_GoBack"/>
      <w:r>
        <w:rPr>
          <w:rFonts w:hint="eastAsia" w:ascii="微软雅黑" w:hAnsi="微软雅黑" w:eastAsia="微软雅黑" w:cs="微软雅黑"/>
          <w:bCs/>
          <w:color w:val="000000"/>
          <w:spacing w:val="202"/>
          <w:kern w:val="0"/>
          <w:sz w:val="21"/>
          <w:szCs w:val="21"/>
          <w:fitText w:val="5742" w:id="1450529788"/>
        </w:rPr>
        <w:t>国家市场监督管理总</w:t>
      </w:r>
      <w:r>
        <w:rPr>
          <w:rFonts w:hint="eastAsia" w:ascii="微软雅黑" w:hAnsi="微软雅黑" w:eastAsia="微软雅黑" w:cs="微软雅黑"/>
          <w:bCs/>
          <w:color w:val="000000"/>
          <w:spacing w:val="3"/>
          <w:kern w:val="0"/>
          <w:sz w:val="21"/>
          <w:szCs w:val="21"/>
          <w:fitText w:val="5742" w:id="1450529788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jc w:val="center"/>
        <w:textAlignment w:val="auto"/>
        <w:rPr>
          <w:rFonts w:hint="eastAsia" w:ascii="微软雅黑" w:hAnsi="微软雅黑" w:eastAsia="微软雅黑" w:cs="微软雅黑"/>
          <w:color w:val="000000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bCs/>
          <w:color w:val="000000"/>
          <w:spacing w:val="356"/>
          <w:kern w:val="0"/>
          <w:sz w:val="21"/>
          <w:szCs w:val="21"/>
          <w:fitText w:val="5742" w:id="1"/>
        </w:rPr>
        <w:t>行政处罚决定</w:t>
      </w:r>
      <w:r>
        <w:rPr>
          <w:rFonts w:hint="eastAsia" w:ascii="微软雅黑" w:hAnsi="微软雅黑" w:eastAsia="微软雅黑" w:cs="微软雅黑"/>
          <w:bCs/>
          <w:color w:val="000000"/>
          <w:spacing w:val="0"/>
          <w:kern w:val="0"/>
          <w:sz w:val="21"/>
          <w:szCs w:val="21"/>
          <w:fitText w:val="5742" w:id="1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jc w:val="center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国市监处〔202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〕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jc w:val="center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ind w:left="0" w:leftChars="0" w:firstLine="402" w:firstLineChars="197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当事人：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腾讯控股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有限公司（Tencent Holding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s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 xml:space="preserve"> Limited）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ind w:left="0" w:leftChars="0" w:firstLine="402" w:firstLineChars="197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住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所：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 xml:space="preserve">Cricket Square Hutchins Drive P.O.Box 2681 Grand Cayman KYI-1111 Cayman Islands   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line="594" w:lineRule="exact"/>
        <w:ind w:firstLine="408" w:firstLineChars="200"/>
        <w:textAlignment w:val="auto"/>
        <w:outlineLvl w:val="9"/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根据《中华人民共和国反垄断法》（以下简称《反垄断法》）《经营者集中审查暂行规定》，本机关于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2021年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8月12日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对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腾讯控股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有限公司（Tencent Holding Limited</w:t>
      </w:r>
      <w:r>
        <w:rPr>
          <w:rFonts w:hint="eastAsia" w:ascii="微软雅黑" w:hAnsi="微软雅黑" w:eastAsia="微软雅黑" w:cs="微软雅黑"/>
          <w:sz w:val="21"/>
          <w:szCs w:val="21"/>
        </w:rPr>
        <w:t>，以下简称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腾讯</w:t>
      </w:r>
      <w:r>
        <w:rPr>
          <w:rFonts w:hint="eastAsia" w:ascii="微软雅黑" w:hAnsi="微软雅黑" w:eastAsia="微软雅黑" w:cs="微软雅黑"/>
          <w:sz w:val="21"/>
          <w:szCs w:val="21"/>
        </w:rPr>
        <w:t>）收购</w:t>
      </w:r>
      <w:r>
        <w:rPr>
          <w:rFonts w:hint="eastAsia" w:ascii="微软雅黑" w:hAnsi="微软雅黑" w:eastAsia="微软雅黑" w:cs="微软雅黑"/>
          <w:bCs/>
          <w:sz w:val="21"/>
          <w:szCs w:val="21"/>
          <w:lang w:val="en-US" w:eastAsia="zh-CN"/>
        </w:rPr>
        <w:t>DeepBlue Alpha Inc.</w:t>
      </w:r>
      <w:r>
        <w:rPr>
          <w:rFonts w:hint="eastAsia" w:ascii="微软雅黑" w:hAnsi="微软雅黑" w:eastAsia="微软雅黑" w:cs="微软雅黑"/>
          <w:sz w:val="21"/>
          <w:szCs w:val="21"/>
        </w:rPr>
        <w:t>（以下简称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小帮规划</w:t>
      </w:r>
      <w:r>
        <w:rPr>
          <w:rFonts w:hint="eastAsia" w:ascii="微软雅黑" w:hAnsi="微软雅黑" w:eastAsia="微软雅黑" w:cs="微软雅黑"/>
          <w:sz w:val="21"/>
          <w:szCs w:val="21"/>
        </w:rPr>
        <w:t>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股权</w:t>
      </w:r>
      <w:r>
        <w:rPr>
          <w:rFonts w:hint="eastAsia" w:ascii="微软雅黑" w:hAnsi="微软雅黑" w:eastAsia="微软雅黑" w:cs="微软雅黑"/>
          <w:sz w:val="21"/>
          <w:szCs w:val="21"/>
        </w:rPr>
        <w:t>涉嫌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未依法申报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违法实施经营者集中案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进行立案调查。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经查，该案构成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未依法申报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违法实施经营者集中，但不具有排除、限制竞争的效果。本机关按照《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中华人民共和国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行政处罚法》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eastAsia="zh-CN"/>
        </w:rPr>
        <w:t>（以下简称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《行政处罚法》</w:t>
      </w:r>
      <w:r>
        <w:rPr>
          <w:rFonts w:hint="eastAsia" w:ascii="微软雅黑" w:hAnsi="微软雅黑" w:eastAsia="微软雅黑" w:cs="微软雅黑"/>
          <w:color w:val="auto"/>
          <w:sz w:val="21"/>
          <w:szCs w:val="21"/>
          <w:lang w:eastAsia="zh-CN"/>
        </w:rPr>
        <w:t>）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的规定，向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腾讯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送达了《行政处罚告知书》，告知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当事人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拟作出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的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行政处罚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内容及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事实、理由、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依据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并告知当事人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依法享有的陈述、申辩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、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要求听证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的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</w:rPr>
        <w:t>权</w:t>
      </w:r>
      <w:r>
        <w:rPr>
          <w:rFonts w:hint="eastAsia" w:ascii="微软雅黑" w:hAnsi="微软雅黑" w:eastAsia="微软雅黑" w:cs="微软雅黑"/>
          <w:color w:val="auto"/>
          <w:kern w:val="2"/>
          <w:sz w:val="21"/>
          <w:szCs w:val="21"/>
          <w:lang w:eastAsia="zh-CN"/>
        </w:rPr>
        <w:t>利</w:t>
      </w: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。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腾讯</w:t>
      </w: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在规定期限内没有提出陈述、申辩意见或要求举行听证。本案现已调查、审理终结。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一、基本情况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（一）交易方。</w:t>
      </w:r>
    </w:p>
    <w:p>
      <w:pPr>
        <w:suppressAutoHyphens/>
        <w:overflowPunct w:val="0"/>
        <w:autoSpaceDE w:val="0"/>
        <w:autoSpaceDN w:val="0"/>
        <w:adjustRightInd w:val="0"/>
        <w:spacing w:after="160" w:line="594" w:lineRule="exact"/>
        <w:ind w:firstLine="408" w:firstLineChars="200"/>
        <w:rPr>
          <w:rFonts w:hint="eastAsia" w:ascii="微软雅黑" w:hAnsi="微软雅黑" w:eastAsia="微软雅黑" w:cs="微软雅黑"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kern w:val="2"/>
          <w:sz w:val="21"/>
          <w:szCs w:val="21"/>
          <w:lang w:val="en-US" w:eastAsia="zh-CN" w:bidi="ar-SA"/>
        </w:rPr>
        <w:t>收购方：</w:t>
      </w:r>
      <w:r>
        <w:rPr>
          <w:rFonts w:hint="eastAsia" w:ascii="微软雅黑" w:hAnsi="微软雅黑" w:eastAsia="微软雅黑" w:cs="微软雅黑"/>
          <w:b/>
          <w:bCs/>
          <w:kern w:val="2"/>
          <w:sz w:val="21"/>
          <w:szCs w:val="21"/>
          <w:lang w:val="en-US" w:eastAsia="zh-CN" w:bidi="ar-SA"/>
        </w:rPr>
        <w:t>腾讯</w:t>
      </w:r>
      <w:r>
        <w:rPr>
          <w:rFonts w:hint="eastAsia" w:ascii="微软雅黑" w:hAnsi="微软雅黑" w:eastAsia="微软雅黑" w:cs="微软雅黑"/>
          <w:b/>
          <w:bCs/>
          <w:kern w:val="2"/>
          <w:sz w:val="21"/>
          <w:szCs w:val="21"/>
          <w:lang w:val="en-US" w:eastAsia="zh-CN" w:bidi="ar-SA"/>
        </w:rPr>
        <w:t>。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1999年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11月于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英属维尔京群岛注册成立，2004年2月迁册至英属开曼群岛，2004年6月在香港联交所上市，通过协议控制境内主要运营实体深圳市腾讯计算机系统有限公司。主要业务包括社交和通信服务、社交网络平台、游戏、网络视频服务、互动娱乐直播等</w:t>
      </w:r>
      <w:r>
        <w:rPr>
          <w:rFonts w:hint="eastAsia" w:ascii="微软雅黑" w:hAnsi="微软雅黑" w:eastAsia="微软雅黑" w:cs="微软雅黑"/>
          <w:sz w:val="21"/>
          <w:szCs w:val="21"/>
        </w:rPr>
        <w:t>。201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sz w:val="21"/>
          <w:szCs w:val="21"/>
        </w:rPr>
        <w:t>年全球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营业额为</w:t>
      </w: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（略）人民币（币种下同）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1"/>
          <w:szCs w:val="21"/>
        </w:rPr>
        <w:t>中国境内营业额为</w:t>
      </w: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（略）</w:t>
      </w:r>
      <w:r>
        <w:rPr>
          <w:rFonts w:hint="eastAsia" w:ascii="微软雅黑" w:hAnsi="微软雅黑" w:eastAsia="微软雅黑" w:cs="微软雅黑"/>
          <w:sz w:val="21"/>
          <w:szCs w:val="21"/>
        </w:rPr>
        <w:t>。</w:t>
      </w:r>
    </w:p>
    <w:p>
      <w:pPr>
        <w:pStyle w:val="9"/>
        <w:spacing w:line="594" w:lineRule="exact"/>
        <w:ind w:firstLine="641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kern w:val="2"/>
          <w:sz w:val="21"/>
          <w:szCs w:val="21"/>
          <w:lang w:val="en-US" w:eastAsia="zh-CN" w:bidi="ar-SA"/>
        </w:rPr>
        <w:t>被收购方：</w:t>
      </w:r>
      <w:r>
        <w:rPr>
          <w:rFonts w:hint="eastAsia" w:ascii="微软雅黑" w:hAnsi="微软雅黑" w:eastAsia="微软雅黑" w:cs="微软雅黑"/>
          <w:b/>
          <w:bCs/>
          <w:kern w:val="2"/>
          <w:sz w:val="21"/>
          <w:szCs w:val="21"/>
          <w:lang w:val="en-US" w:eastAsia="zh-CN" w:bidi="ar-SA"/>
        </w:rPr>
        <w:t>小帮规划</w:t>
      </w:r>
      <w:r>
        <w:rPr>
          <w:rFonts w:hint="eastAsia" w:ascii="微软雅黑" w:hAnsi="微软雅黑" w:eastAsia="微软雅黑" w:cs="微软雅黑"/>
          <w:b/>
          <w:bCs/>
          <w:kern w:val="2"/>
          <w:sz w:val="21"/>
          <w:szCs w:val="21"/>
          <w:lang w:val="en-US" w:eastAsia="zh-CN" w:bidi="ar-SA"/>
        </w:rPr>
        <w:t>。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2017年于开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曼群岛</w:t>
      </w:r>
      <w:r>
        <w:rPr>
          <w:rFonts w:hint="eastAsia" w:ascii="微软雅黑" w:hAnsi="微软雅黑" w:eastAsia="微软雅黑" w:cs="微软雅黑"/>
          <w:sz w:val="21"/>
          <w:szCs w:val="21"/>
        </w:rPr>
        <w:t>注册成立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，由创始人徐彬、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BRV Aster Fund I, L.P.、BRV Aster Opportunity Fund I, L.P.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SCC Seed I Holdco.Ltd（以下称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 w:bidi="ar-SA"/>
        </w:rPr>
        <w:t>红杉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中国美元基金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种子第一控股）和SCC Venture VII Holdco. Ltd（以下称红杉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中国美元基金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第七控股）共同控制</w:t>
      </w:r>
      <w:r>
        <w:rPr>
          <w:rFonts w:hint="eastAsia" w:ascii="微软雅黑" w:hAnsi="微软雅黑" w:eastAsia="微软雅黑" w:cs="微软雅黑"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主要从事保险经纪业务，</w:t>
      </w:r>
      <w:r>
        <w:rPr>
          <w:rFonts w:hint="eastAsia" w:ascii="微软雅黑" w:hAnsi="微软雅黑" w:eastAsia="微软雅黑" w:cs="微软雅黑"/>
          <w:sz w:val="21"/>
          <w:szCs w:val="21"/>
        </w:rPr>
        <w:t>201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sz w:val="21"/>
          <w:szCs w:val="21"/>
        </w:rPr>
        <w:t>年全球和中国境内营业额均为</w:t>
      </w: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（略）</w:t>
      </w:r>
      <w:r>
        <w:rPr>
          <w:rFonts w:hint="eastAsia" w:ascii="微软雅黑" w:hAnsi="微软雅黑" w:eastAsia="微软雅黑" w:cs="微软雅黑"/>
          <w:sz w:val="21"/>
          <w:szCs w:val="21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jc w:val="both"/>
        <w:textAlignment w:val="auto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  <w:lang w:eastAsia="zh-CN"/>
        </w:rPr>
        <w:t>其他参与集中的经营者：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红杉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中国美元基金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种子第一控股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2018年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月于开曼岛注册成立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；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红杉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中国美元基金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第七控股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201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年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3月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于开曼岛注册成立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。两者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最终控制人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均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自然人</w:t>
      </w: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（略）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val="en-US" w:eastAsia="zh-CN"/>
        </w:rPr>
        <w:t>，主要从事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中国境内的美元投资管理业务，2018年全球营业额为</w:t>
      </w: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（略）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，中国境内营业额为</w:t>
      </w: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（略）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（二）交易概况。</w:t>
      </w:r>
    </w:p>
    <w:p>
      <w:pPr>
        <w:pStyle w:val="9"/>
        <w:spacing w:line="240" w:lineRule="auto"/>
        <w:ind w:firstLine="640"/>
        <w:rPr>
          <w:rFonts w:hint="eastAsia" w:ascii="微软雅黑" w:hAnsi="微软雅黑" w:eastAsia="微软雅黑" w:cs="微软雅黑"/>
          <w:b w:val="0"/>
          <w:bCs w:val="0"/>
          <w:kern w:val="2"/>
          <w:sz w:val="21"/>
          <w:szCs w:val="21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本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交易系股权收购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。</w:t>
      </w:r>
      <w:r>
        <w:rPr>
          <w:rFonts w:hint="eastAsia" w:ascii="微软雅黑" w:hAnsi="微软雅黑" w:eastAsia="微软雅黑" w:cs="微软雅黑"/>
          <w:sz w:val="21"/>
          <w:szCs w:val="21"/>
        </w:rPr>
        <w:t>201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21"/>
          <w:szCs w:val="21"/>
        </w:rPr>
        <w:t>年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1"/>
          <w:szCs w:val="21"/>
        </w:rPr>
        <w:t>月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1"/>
          <w:szCs w:val="21"/>
        </w:rPr>
        <w:t>日，腾讯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与小帮规划等</w:t>
      </w:r>
      <w:r>
        <w:rPr>
          <w:rFonts w:hint="eastAsia" w:ascii="微软雅黑" w:hAnsi="微软雅黑" w:eastAsia="微软雅黑" w:cs="微软雅黑"/>
          <w:sz w:val="21"/>
          <w:szCs w:val="21"/>
        </w:rPr>
        <w:t>签署《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B系列优先股股权认购协议</w:t>
      </w:r>
      <w:r>
        <w:rPr>
          <w:rFonts w:hint="eastAsia" w:ascii="微软雅黑" w:hAnsi="微软雅黑" w:eastAsia="微软雅黑" w:cs="微软雅黑"/>
          <w:sz w:val="21"/>
          <w:szCs w:val="21"/>
        </w:rPr>
        <w:t>》，收购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小帮规划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sz w:val="21"/>
          <w:szCs w:val="21"/>
        </w:rPr>
        <w:t>%的股权，并取得控制权。201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21"/>
          <w:szCs w:val="21"/>
        </w:rPr>
        <w:t>年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1"/>
          <w:szCs w:val="21"/>
        </w:rPr>
        <w:t>月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1"/>
          <w:szCs w:val="21"/>
        </w:rPr>
        <w:t>日，本次交易完成股权变更登记</w:t>
      </w:r>
      <w:r>
        <w:rPr>
          <w:rFonts w:hint="eastAsia" w:ascii="微软雅黑" w:hAnsi="微软雅黑" w:eastAsia="微软雅黑" w:cs="微软雅黑"/>
          <w:b w:val="0"/>
          <w:bCs w:val="0"/>
          <w:kern w:val="2"/>
          <w:sz w:val="21"/>
          <w:szCs w:val="21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二、违法事实及理由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 w:val="0"/>
        <w:snapToGrid w:val="0"/>
        <w:spacing w:line="594" w:lineRule="exact"/>
        <w:ind w:left="0" w:firstLine="408" w:firstLineChars="200"/>
        <w:jc w:val="both"/>
        <w:textAlignment w:val="auto"/>
        <w:outlineLvl w:val="0"/>
        <w:rPr>
          <w:rFonts w:hint="eastAsia" w:ascii="微软雅黑" w:hAnsi="微软雅黑" w:eastAsia="微软雅黑" w:cs="微软雅黑"/>
          <w:b w:val="0"/>
          <w:bCs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</w:rPr>
        <w:t>（一）本案构成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未依法申报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  <w:lang w:eastAsia="zh-CN"/>
        </w:rPr>
        <w:t>违法实施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1"/>
        </w:rPr>
        <w:t>的经营者集中。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ind w:firstLine="408" w:firstLineChars="200"/>
        <w:jc w:val="both"/>
        <w:textAlignment w:val="auto"/>
        <w:rPr>
          <w:rFonts w:hint="eastAsia" w:ascii="微软雅黑" w:hAnsi="微软雅黑" w:eastAsia="微软雅黑" w:cs="微软雅黑"/>
          <w:bCs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Cs/>
          <w:sz w:val="21"/>
          <w:szCs w:val="21"/>
        </w:rPr>
        <w:t>《反垄断法》第二十条规定“经营者集中是指下列情形：（一）经营者合并；（二）经营者通过取得股权或者资产的方式取得对其他经营者的控制权；（三）经营者通过合同等方式取得</w:t>
      </w:r>
      <w:r>
        <w:rPr>
          <w:rFonts w:hint="eastAsia" w:ascii="微软雅黑" w:hAnsi="微软雅黑" w:eastAsia="微软雅黑" w:cs="微软雅黑"/>
          <w:bCs/>
          <w:sz w:val="21"/>
          <w:szCs w:val="21"/>
          <w:lang w:val="en-US" w:eastAsia="zh-CN"/>
        </w:rPr>
        <w:t>对其他经营者的控制权或者能够对其他经营者施加决定性影响”。</w:t>
      </w:r>
      <w:r>
        <w:rPr>
          <w:rFonts w:hint="eastAsia" w:ascii="微软雅黑" w:hAnsi="微软雅黑" w:eastAsia="微软雅黑" w:cs="微软雅黑"/>
          <w:sz w:val="21"/>
          <w:szCs w:val="21"/>
        </w:rPr>
        <w:t>201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21"/>
          <w:szCs w:val="21"/>
        </w:rPr>
        <w:t>年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1"/>
          <w:szCs w:val="21"/>
        </w:rPr>
        <w:t>月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1"/>
          <w:szCs w:val="21"/>
        </w:rPr>
        <w:t>日</w:t>
      </w:r>
      <w:r>
        <w:rPr>
          <w:rFonts w:hint="eastAsia" w:ascii="微软雅黑" w:hAnsi="微软雅黑" w:eastAsia="微软雅黑" w:cs="微软雅黑"/>
          <w:b w:val="0"/>
          <w:bCs w:val="0"/>
          <w:kern w:val="2"/>
          <w:sz w:val="21"/>
          <w:szCs w:val="21"/>
          <w:lang w:val="en-US" w:eastAsia="zh-CN" w:bidi="ar-SA"/>
        </w:rPr>
        <w:t>，腾讯收购小帮规划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sz w:val="21"/>
          <w:szCs w:val="21"/>
        </w:rPr>
        <w:t>%</w:t>
      </w:r>
      <w:r>
        <w:rPr>
          <w:rFonts w:hint="eastAsia" w:ascii="微软雅黑" w:hAnsi="微软雅黑" w:eastAsia="微软雅黑" w:cs="微软雅黑"/>
          <w:b w:val="0"/>
          <w:bCs w:val="0"/>
          <w:kern w:val="2"/>
          <w:sz w:val="21"/>
          <w:szCs w:val="21"/>
          <w:lang w:val="en-US" w:eastAsia="zh-CN" w:bidi="ar-SA"/>
        </w:rPr>
        <w:t>股权，</w:t>
      </w:r>
      <w:r>
        <w:rPr>
          <w:rFonts w:hint="eastAsia" w:ascii="微软雅黑" w:hAnsi="微软雅黑" w:eastAsia="微软雅黑" w:cs="微软雅黑"/>
          <w:bCs/>
          <w:kern w:val="2"/>
          <w:sz w:val="21"/>
          <w:szCs w:val="21"/>
          <w:lang w:val="en-US" w:eastAsia="zh-CN" w:bidi="ar-SA"/>
        </w:rPr>
        <w:t>取得共同控制权</w:t>
      </w:r>
      <w:r>
        <w:rPr>
          <w:rFonts w:hint="eastAsia" w:ascii="微软雅黑" w:hAnsi="微软雅黑" w:eastAsia="微软雅黑" w:cs="微软雅黑"/>
          <w:bCs/>
          <w:kern w:val="2"/>
          <w:sz w:val="21"/>
          <w:szCs w:val="21"/>
          <w:lang w:val="en-US" w:eastAsia="zh-CN" w:bidi="ar-SA"/>
        </w:rPr>
        <w:t>，</w:t>
      </w:r>
      <w:r>
        <w:rPr>
          <w:rFonts w:hint="eastAsia" w:ascii="微软雅黑" w:hAnsi="微软雅黑" w:eastAsia="微软雅黑" w:cs="微软雅黑"/>
          <w:bCs/>
          <w:sz w:val="21"/>
          <w:szCs w:val="21"/>
          <w:lang w:eastAsia="zh-CN"/>
        </w:rPr>
        <w:t>属于《反垄断法》第二十条规定的经营者集中。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topLinePunct w:val="0"/>
        <w:bidi w:val="0"/>
        <w:adjustRightInd w:val="0"/>
        <w:spacing w:line="594" w:lineRule="exact"/>
        <w:ind w:left="0" w:firstLine="643"/>
        <w:textAlignment w:val="auto"/>
        <w:rPr>
          <w:rFonts w:hint="eastAsia" w:ascii="微软雅黑" w:hAnsi="微软雅黑" w:eastAsia="微软雅黑" w:cs="微软雅黑"/>
          <w:bCs/>
          <w:kern w:val="2"/>
          <w:sz w:val="21"/>
          <w:szCs w:val="21"/>
          <w:u w:val="none"/>
          <w:lang w:val="en-US" w:eastAsia="zh-CN" w:bidi="ar-SA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2018年，腾讯</w:t>
      </w:r>
      <w:r>
        <w:rPr>
          <w:rFonts w:hint="eastAsia" w:ascii="微软雅黑" w:hAnsi="微软雅黑" w:eastAsia="微软雅黑" w:cs="微软雅黑"/>
          <w:sz w:val="21"/>
          <w:szCs w:val="21"/>
        </w:rPr>
        <w:t>全球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营业额为</w:t>
      </w: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（略）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1"/>
          <w:szCs w:val="21"/>
        </w:rPr>
        <w:t>中国境内营业额为</w:t>
      </w: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（略）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；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红杉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中国美元基金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全球营业额为</w:t>
      </w: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（略）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，中国境内营业额为</w:t>
      </w: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（略）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bCs/>
          <w:kern w:val="2"/>
          <w:sz w:val="21"/>
          <w:szCs w:val="21"/>
          <w:u w:val="none"/>
          <w:lang w:val="en-US" w:eastAsia="zh-CN" w:bidi="ar-SA"/>
        </w:rPr>
        <w:t>达到《国务院关于经营者集中申报标准的规定》第三条规定的申报标准，属于应当申报的情形。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ind w:firstLine="400" w:firstLineChars="196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《反垄断法》第二十一条规定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“经</w:t>
      </w:r>
      <w:r>
        <w:rPr>
          <w:rFonts w:hint="eastAsia" w:ascii="微软雅黑" w:hAnsi="微软雅黑" w:eastAsia="微软雅黑" w:cs="微软雅黑"/>
          <w:sz w:val="21"/>
          <w:szCs w:val="21"/>
        </w:rPr>
        <w:t>营者集中达到国</w:t>
      </w:r>
      <w:r>
        <w:rPr>
          <w:rFonts w:hint="eastAsia" w:ascii="微软雅黑" w:hAnsi="微软雅黑" w:eastAsia="微软雅黑" w:cs="微软雅黑"/>
          <w:bCs/>
          <w:kern w:val="2"/>
          <w:sz w:val="21"/>
          <w:szCs w:val="21"/>
          <w:u w:val="none"/>
          <w:lang w:val="en-US" w:eastAsia="zh-CN" w:bidi="ar-SA"/>
        </w:rPr>
        <w:t>务院规定的申报标准的，经营者应当事先向国务院反垄断执法机构申报，未申报的不得实施集中”。</w:t>
      </w:r>
      <w:r>
        <w:rPr>
          <w:rFonts w:hint="eastAsia" w:ascii="微软雅黑" w:hAnsi="微软雅黑" w:eastAsia="微软雅黑" w:cs="微软雅黑"/>
          <w:sz w:val="21"/>
          <w:szCs w:val="21"/>
        </w:rPr>
        <w:t>201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sz w:val="21"/>
          <w:szCs w:val="21"/>
        </w:rPr>
        <w:t>年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1"/>
          <w:szCs w:val="21"/>
        </w:rPr>
        <w:t>月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sz w:val="21"/>
          <w:szCs w:val="21"/>
        </w:rPr>
        <w:t>日</w:t>
      </w:r>
      <w:r>
        <w:rPr>
          <w:rFonts w:hint="eastAsia" w:ascii="微软雅黑" w:hAnsi="微软雅黑" w:eastAsia="微软雅黑" w:cs="微软雅黑"/>
          <w:bCs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b w:val="0"/>
          <w:bCs w:val="0"/>
          <w:kern w:val="2"/>
          <w:sz w:val="21"/>
          <w:szCs w:val="21"/>
          <w:lang w:val="en-US" w:eastAsia="zh-CN" w:bidi="ar-SA"/>
        </w:rPr>
        <w:t>上述交易</w:t>
      </w:r>
      <w:r>
        <w:rPr>
          <w:rFonts w:hint="eastAsia" w:ascii="微软雅黑" w:hAnsi="微软雅黑" w:eastAsia="微软雅黑" w:cs="微软雅黑"/>
          <w:b w:val="0"/>
          <w:bCs w:val="0"/>
          <w:kern w:val="2"/>
          <w:sz w:val="21"/>
          <w:szCs w:val="21"/>
          <w:lang w:val="en-US" w:eastAsia="zh-CN" w:bidi="ar-SA"/>
        </w:rPr>
        <w:t>完成股权变更登记</w:t>
      </w:r>
      <w:r>
        <w:rPr>
          <w:rFonts w:hint="eastAsia" w:ascii="微软雅黑" w:hAnsi="微软雅黑" w:eastAsia="微软雅黑" w:cs="微软雅黑"/>
          <w:bCs/>
          <w:kern w:val="2"/>
          <w:sz w:val="21"/>
          <w:szCs w:val="21"/>
          <w:lang w:val="en-US" w:eastAsia="zh-CN" w:bidi="ar-SA"/>
        </w:rPr>
        <w:t>，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违反《反垄断法》第二十一条，构成未依法申报违法实施的经营者集中。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（二）本案不具有排除、限制竞争的效果。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ind w:firstLine="408" w:firstLineChars="200"/>
        <w:textAlignment w:val="auto"/>
        <w:outlineLvl w:val="0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本机关就</w:t>
      </w:r>
      <w:r>
        <w:rPr>
          <w:rFonts w:hint="eastAsia" w:ascii="微软雅黑" w:hAnsi="微软雅黑" w:eastAsia="微软雅黑" w:cs="微软雅黑"/>
          <w:b w:val="0"/>
          <w:bCs w:val="0"/>
          <w:kern w:val="2"/>
          <w:sz w:val="21"/>
          <w:szCs w:val="21"/>
          <w:lang w:val="en-US" w:eastAsia="zh-CN" w:bidi="ar-SA"/>
        </w:rPr>
        <w:t>腾讯</w:t>
      </w:r>
      <w:r>
        <w:rPr>
          <w:rFonts w:hint="eastAsia" w:ascii="微软雅黑" w:hAnsi="微软雅黑" w:eastAsia="微软雅黑" w:cs="微软雅黑"/>
          <w:b w:val="0"/>
          <w:bCs w:val="0"/>
          <w:kern w:val="2"/>
          <w:sz w:val="21"/>
          <w:szCs w:val="21"/>
          <w:lang w:val="en-US" w:eastAsia="zh-CN" w:bidi="ar-SA"/>
        </w:rPr>
        <w:t>收购</w:t>
      </w:r>
      <w:r>
        <w:rPr>
          <w:rFonts w:hint="eastAsia" w:ascii="微软雅黑" w:hAnsi="微软雅黑" w:eastAsia="微软雅黑" w:cs="微软雅黑"/>
          <w:b w:val="0"/>
          <w:bCs w:val="0"/>
          <w:kern w:val="2"/>
          <w:sz w:val="21"/>
          <w:szCs w:val="21"/>
          <w:lang w:val="en-US" w:eastAsia="zh-CN" w:bidi="ar-SA"/>
        </w:rPr>
        <w:t>小帮规划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eastAsia="zh-CN"/>
        </w:rPr>
        <w:t>股权</w:t>
      </w: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对市场竞争的影响进行了评估，评估认为，该项经营者集中不会产生排除、限制竞争的效果。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三、行政处罚依据和决定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ind w:firstLine="400" w:firstLineChars="196"/>
        <w:textAlignment w:val="auto"/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</w:rPr>
        <w:t>《反垄断法》第四十八条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  <w:t>规定“经营者违反本法规定实施集中的，由国务院反垄断执法机构责令停止实施集中、限期处分股份或者资产、限期转让营业以及采取其他必要措施恢复到集中前的状态，可以处五十万元以下的罚款”。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</w:rPr>
        <w:t>《反垄断法》第四十九条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  <w:t>规定“对本法第四十六条、第四十七条、第四十八条规定的罚款，反垄断执法机构确定具体罚款数额时，应当考虑违法行为的性质、程度和持续的时间等因素”。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</w:rPr>
        <w:t>根据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  <w:t>上述规定，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</w:rPr>
        <w:t>基于调查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  <w:t>情况和评估结论，本机关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  <w:t>决定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  <w:t>给予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val="en-US" w:eastAsia="zh-CN"/>
        </w:rPr>
        <w:t>腾讯5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  <w:t>0万元罚款的行政处罚。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  <w:t>《行政处罚法》第六十七条规定“作出罚款决定的行政机关应当与收缴罚款的机构分离。除依照本法第六十八条、第六十九条的规定当场收缴的罚款外，作出行政处罚决定的行政机关及其执法人员不得自行收缴罚款。当事人应当自收到行政处罚决定书之日起十五日内，到指定的银行或者通过电子支付系统缴纳罚款。银行应当收受罚款，并将罚款直接上缴国库”。　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highlight w:val="yellow"/>
          <w:lang w:eastAsia="zh-CN"/>
        </w:rPr>
      </w:pP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  <w:t>当事人应当自收到本行政处罚决定书之日起十五日内，携缴款码到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val="en-US" w:eastAsia="zh-CN"/>
        </w:rPr>
        <w:t>15家中央财政非税收入收缴代理银行（工、农、中、建、交、中信、光大、招商、邮储、华夏、平安、兴业、民生、广发、浙商）任一银行网点、网上银行缴纳罚款。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  <w:t>缴款码：</w:t>
      </w:r>
      <w:r>
        <w:rPr>
          <w:rFonts w:hint="eastAsia" w:ascii="微软雅黑" w:hAnsi="微软雅黑" w:eastAsia="微软雅黑" w:cs="微软雅黑"/>
          <w:b w:val="0"/>
          <w:bCs/>
          <w:sz w:val="21"/>
          <w:szCs w:val="21"/>
          <w:lang w:val="en-US" w:eastAsia="zh-CN"/>
        </w:rPr>
        <w:t>（略）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val="en-US" w:eastAsia="zh-CN"/>
        </w:rPr>
        <w:t>。到期不缴纳罚款的，依据《行政处罚法》第七十二条的规定，本机关将每日按罚款数额的百分之三加处罚款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，</w:t>
      </w: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val="en-US" w:eastAsia="zh-CN"/>
        </w:rPr>
        <w:t>并依法申请人民法院强制执行。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 w:val="0"/>
        <w:autoSpaceDN w:val="0"/>
        <w:bidi w:val="0"/>
        <w:adjustRightInd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Cs/>
          <w:color w:val="000000"/>
          <w:kern w:val="2"/>
          <w:sz w:val="21"/>
          <w:szCs w:val="21"/>
          <w:lang w:eastAsia="zh-CN"/>
        </w:rPr>
        <w:t xml:space="preserve">当事人如对上述行政处罚决定不服，可以自收到本行政处罚决定书之日起六十日内，向国家市场监督管理总局申请行政复议；或者自收到本行政处罚决定书之日起六个月内，依法向人民法院提起行政诉讼。行政复议或者行政诉讼期间，本行政处罚决定不停止执行。 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 w:val="0"/>
        <w:spacing w:line="594" w:lineRule="exact"/>
        <w:ind w:firstLine="3530" w:firstLineChars="1730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市场监管总局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 w:val="0"/>
        <w:spacing w:line="594" w:lineRule="exact"/>
        <w:ind w:firstLine="3395" w:firstLineChars="1664"/>
        <w:textAlignment w:val="auto"/>
        <w:rPr>
          <w:rFonts w:hint="eastAsia" w:ascii="微软雅黑" w:hAnsi="微软雅黑" w:eastAsia="微软雅黑" w:cs="微软雅黑"/>
          <w:kern w:val="2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202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年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月</w:t>
      </w:r>
      <w:r>
        <w:rPr>
          <w:rFonts w:hint="eastAsia" w:ascii="微软雅黑" w:hAnsi="微软雅黑" w:eastAsia="微软雅黑" w:cs="微软雅黑"/>
          <w:kern w:val="2"/>
          <w:sz w:val="21"/>
          <w:szCs w:val="21"/>
          <w:lang w:val="en-US" w:eastAsia="zh-CN"/>
        </w:rPr>
        <w:t>31</w:t>
      </w: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ind w:firstLine="408" w:firstLineChars="20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kern w:val="2"/>
          <w:sz w:val="21"/>
          <w:szCs w:val="21"/>
        </w:rPr>
        <w:t>（此件公开发布）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pacing w:line="594" w:lineRule="exact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</w:p>
    <w:bookmarkEnd w:id="0"/>
    <w:sectPr>
      <w:footerReference r:id="rId3" w:type="default"/>
      <w:footerReference r:id="rId4" w:type="even"/>
      <w:pgSz w:w="11906" w:h="16838"/>
      <w:pgMar w:top="1898" w:right="1474" w:bottom="1985" w:left="1474" w:header="851" w:footer="1814" w:gutter="0"/>
      <w:cols w:space="720" w:num="1"/>
      <w:docGrid w:type="linesAndChars" w:linePitch="289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ind w:left="315" w:leftChars="150" w:right="315" w:rightChars="150"/>
      <w:rPr>
        <w:rStyle w:val="8"/>
        <w:rFonts w:hint="eastAsia" w:ascii="宋体" w:hAnsi="宋体"/>
        <w:sz w:val="28"/>
        <w:szCs w:val="28"/>
      </w:rPr>
    </w:pPr>
    <w:r>
      <w:rPr>
        <w:rStyle w:val="8"/>
        <w:rFonts w:hint="eastAsia" w:ascii="宋体" w:hAnsi="宋体"/>
        <w:sz w:val="28"/>
        <w:szCs w:val="28"/>
      </w:rPr>
      <w:t xml:space="preserve">— </w:t>
    </w:r>
    <w:r>
      <w:rPr>
        <w:rStyle w:val="8"/>
        <w:rFonts w:ascii="宋体" w:hAnsi="宋体"/>
        <w:sz w:val="28"/>
        <w:szCs w:val="28"/>
      </w:rPr>
      <w:fldChar w:fldCharType="begin"/>
    </w:r>
    <w:r>
      <w:rPr>
        <w:rStyle w:val="8"/>
        <w:rFonts w:ascii="宋体" w:hAnsi="宋体"/>
        <w:sz w:val="28"/>
        <w:szCs w:val="28"/>
      </w:rPr>
      <w:instrText xml:space="preserve">PAGE  </w:instrText>
    </w:r>
    <w:r>
      <w:rPr>
        <w:rStyle w:val="8"/>
        <w:rFonts w:ascii="宋体" w:hAnsi="宋体"/>
        <w:sz w:val="28"/>
        <w:szCs w:val="28"/>
      </w:rPr>
      <w:fldChar w:fldCharType="separate"/>
    </w:r>
    <w:r>
      <w:rPr>
        <w:rStyle w:val="8"/>
        <w:rFonts w:ascii="宋体" w:hAnsi="宋体"/>
        <w:sz w:val="28"/>
        <w:szCs w:val="28"/>
      </w:rPr>
      <w:t>1</w:t>
    </w:r>
    <w:r>
      <w:rPr>
        <w:rStyle w:val="8"/>
        <w:rFonts w:ascii="宋体" w:hAnsi="宋体"/>
        <w:sz w:val="28"/>
        <w:szCs w:val="28"/>
      </w:rPr>
      <w:fldChar w:fldCharType="end"/>
    </w:r>
    <w:r>
      <w:rPr>
        <w:rStyle w:val="8"/>
        <w:rFonts w:hint="eastAsia" w:ascii="宋体" w:hAnsi="宋体"/>
        <w:sz w:val="28"/>
        <w:szCs w:val="28"/>
      </w:rPr>
      <w:t xml:space="preserve"> —</w:t>
    </w:r>
  </w:p>
  <w:p>
    <w:pPr>
      <w:pStyle w:val="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66991"/>
    <w:rsid w:val="01AE1ADC"/>
    <w:rsid w:val="238405CE"/>
    <w:rsid w:val="251F784E"/>
    <w:rsid w:val="27721479"/>
    <w:rsid w:val="29E79469"/>
    <w:rsid w:val="2DE82422"/>
    <w:rsid w:val="31FD7E27"/>
    <w:rsid w:val="331B0238"/>
    <w:rsid w:val="3D973AFE"/>
    <w:rsid w:val="477829E6"/>
    <w:rsid w:val="49337785"/>
    <w:rsid w:val="50F656A6"/>
    <w:rsid w:val="52820D71"/>
    <w:rsid w:val="552762F9"/>
    <w:rsid w:val="579DABF6"/>
    <w:rsid w:val="611E177A"/>
    <w:rsid w:val="6EC37903"/>
    <w:rsid w:val="76015E5A"/>
    <w:rsid w:val="777F8656"/>
    <w:rsid w:val="7EF72D1A"/>
    <w:rsid w:val="7F3A7651"/>
    <w:rsid w:val="7FF5FD96"/>
    <w:rsid w:val="AFF74A24"/>
    <w:rsid w:val="BFDB536C"/>
    <w:rsid w:val="D4EF2426"/>
    <w:rsid w:val="F1FF7086"/>
    <w:rsid w:val="FFCE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360" w:lineRule="exact"/>
      <w:ind w:firstLine="420" w:firstLineChars="200"/>
    </w:pPr>
    <w:rPr>
      <w:szCs w:val="20"/>
    </w:r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Calibri" w:hAnsi="Calibri" w:eastAsia="宋体" w:cs="Times New Roman"/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page number"/>
    <w:basedOn w:val="7"/>
    <w:qFormat/>
    <w:uiPriority w:val="0"/>
  </w:style>
  <w:style w:type="paragraph" w:customStyle="1" w:styleId="9">
    <w:name w:val="内容"/>
    <w:basedOn w:val="1"/>
    <w:qFormat/>
    <w:uiPriority w:val="0"/>
    <w:pPr>
      <w:suppressAutoHyphens/>
      <w:overflowPunct w:val="0"/>
      <w:autoSpaceDE w:val="0"/>
      <w:autoSpaceDN w:val="0"/>
      <w:adjustRightInd w:val="0"/>
      <w:spacing w:line="360" w:lineRule="auto"/>
      <w:ind w:firstLine="200" w:firstLineChars="200"/>
    </w:pPr>
    <w:rPr>
      <w:rFonts w:ascii="仿宋_GB2312" w:hAnsi="仿宋_GB2312" w:eastAsia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xielin</dc:creator>
  <cp:lastModifiedBy>陈永仁</cp:lastModifiedBy>
  <cp:lastPrinted>2022-03-19T04:39:00Z</cp:lastPrinted>
  <dcterms:modified xsi:type="dcterms:W3CDTF">2022-07-11T09:30:55Z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6BCE3B953DA44E7E9B7F6D6A76DFB2A5</vt:lpwstr>
  </property>
</Properties>
</file>