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648309583"/>
        </w:rPr>
        <w:t>国家市场监督管理总</w:t>
      </w:r>
      <w:r>
        <w:rPr>
          <w:rFonts w:hint="eastAsia" w:ascii="微软雅黑" w:hAnsi="微软雅黑" w:eastAsia="微软雅黑" w:cs="微软雅黑"/>
          <w:bCs/>
          <w:color w:val="000000"/>
          <w:spacing w:val="3"/>
          <w:kern w:val="0"/>
          <w:sz w:val="21"/>
          <w:szCs w:val="21"/>
          <w:fitText w:val="5742" w:id="648309583"/>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rPr>
        <w:t>法国巴黎银行个人金融集团（BNP Paribas Personal Finace）</w:t>
      </w:r>
    </w:p>
    <w:p>
      <w:pPr>
        <w:pStyle w:val="3"/>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 xml:space="preserve">住 </w:t>
      </w:r>
      <w:r>
        <w:rPr>
          <w:rFonts w:hint="eastAsia" w:ascii="微软雅黑" w:hAnsi="微软雅黑" w:eastAsia="微软雅黑" w:cs="微软雅黑"/>
          <w:kern w:val="2"/>
          <w:sz w:val="21"/>
          <w:szCs w:val="21"/>
          <w:lang w:val="en-US" w:eastAsia="zh-CN"/>
        </w:rPr>
        <w:t xml:space="preserve"> </w:t>
      </w:r>
      <w:r>
        <w:rPr>
          <w:rFonts w:hint="eastAsia" w:ascii="微软雅黑" w:hAnsi="微软雅黑" w:eastAsia="微软雅黑" w:cs="微软雅黑"/>
          <w:kern w:val="2"/>
          <w:sz w:val="21"/>
          <w:szCs w:val="21"/>
        </w:rPr>
        <w:t>所：</w:t>
      </w:r>
      <w:r>
        <w:rPr>
          <w:rFonts w:hint="eastAsia" w:ascii="微软雅黑" w:hAnsi="微软雅黑" w:eastAsia="微软雅黑" w:cs="微软雅黑"/>
          <w:sz w:val="21"/>
          <w:szCs w:val="21"/>
          <w:lang w:val="en-US" w:eastAsia="zh-CN"/>
        </w:rPr>
        <w:t>法国巴黎奥斯曼大道1号</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rPr>
        <w:t>法国巴黎银行个人金融集团（BNP Paribas Personal Finace，以下简称法巴个金）收购浙江智慧普华融资租赁</w:t>
      </w:r>
      <w:r>
        <w:rPr>
          <w:rFonts w:hint="eastAsia" w:ascii="微软雅黑" w:hAnsi="微软雅黑" w:eastAsia="微软雅黑" w:cs="微软雅黑"/>
          <w:sz w:val="21"/>
          <w:szCs w:val="21"/>
        </w:rPr>
        <w:t>有限公司</w:t>
      </w:r>
      <w:r>
        <w:rPr>
          <w:rFonts w:hint="eastAsia" w:ascii="微软雅黑" w:hAnsi="微软雅黑" w:eastAsia="微软雅黑" w:cs="微软雅黑"/>
          <w:sz w:val="21"/>
          <w:szCs w:val="21"/>
        </w:rPr>
        <w:t>（以下简称浙江智慧）</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color w:val="auto"/>
          <w:sz w:val="21"/>
          <w:szCs w:val="21"/>
          <w:lang w:val="en-US" w:eastAsia="zh-CN"/>
        </w:rPr>
        <w:t>未依法申报</w:t>
      </w:r>
      <w:r>
        <w:rPr>
          <w:rFonts w:hint="eastAsia" w:ascii="微软雅黑" w:hAnsi="微软雅黑" w:eastAsia="微软雅黑" w:cs="微软雅黑"/>
          <w:color w:val="auto"/>
          <w:sz w:val="21"/>
          <w:szCs w:val="21"/>
          <w:lang w:val="en-US" w:eastAsia="zh-CN"/>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sz w:val="21"/>
          <w:szCs w:val="21"/>
          <w:lang w:val="en-US" w:eastAsia="zh-CN"/>
        </w:rPr>
        <w:t>法巴个金</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法巴个金</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kern w:val="2"/>
          <w:sz w:val="21"/>
          <w:szCs w:val="21"/>
          <w:lang w:val="en-US" w:eastAsia="zh-CN" w:bidi="ar-SA"/>
        </w:rPr>
        <w:t>收购方：</w:t>
      </w:r>
      <w:r>
        <w:rPr>
          <w:rFonts w:hint="eastAsia" w:ascii="微软雅黑" w:hAnsi="微软雅黑" w:eastAsia="微软雅黑" w:cs="微软雅黑"/>
          <w:b/>
          <w:kern w:val="2"/>
          <w:sz w:val="21"/>
          <w:szCs w:val="21"/>
          <w:lang w:val="en-US" w:eastAsia="zh-CN" w:bidi="ar-SA"/>
        </w:rPr>
        <w:t>法巴个金</w:t>
      </w:r>
      <w:r>
        <w:rPr>
          <w:rFonts w:hint="eastAsia" w:ascii="微软雅黑" w:hAnsi="微软雅黑" w:eastAsia="微软雅黑" w:cs="微软雅黑"/>
          <w:b/>
          <w:kern w:val="2"/>
          <w:sz w:val="21"/>
          <w:szCs w:val="21"/>
          <w:lang w:val="en-US" w:eastAsia="zh-CN" w:bidi="ar-SA"/>
        </w:rPr>
        <w:t>。</w:t>
      </w:r>
      <w:r>
        <w:rPr>
          <w:rFonts w:hint="eastAsia" w:ascii="微软雅黑" w:hAnsi="微软雅黑" w:eastAsia="微软雅黑" w:cs="微软雅黑"/>
          <w:sz w:val="21"/>
          <w:szCs w:val="21"/>
        </w:rPr>
        <w:t>1953年于法国巴黎注册成立，主要从事银行业务、融资服务、证券服务、保险及房地产业务以及巴黎资本市场相关业务，最终控制人是法国巴黎银行。法巴个金自身在中国没有独立开展业务，但</w:t>
      </w:r>
      <w:r>
        <w:rPr>
          <w:rFonts w:hint="eastAsia" w:ascii="微软雅黑" w:hAnsi="微软雅黑" w:eastAsia="微软雅黑" w:cs="微软雅黑"/>
          <w:sz w:val="21"/>
          <w:szCs w:val="21"/>
          <w:lang w:eastAsia="zh-CN"/>
        </w:rPr>
        <w:t>通</w:t>
      </w:r>
      <w:r>
        <w:rPr>
          <w:rFonts w:hint="eastAsia" w:ascii="微软雅黑" w:hAnsi="微软雅黑" w:eastAsia="微软雅黑" w:cs="微软雅黑"/>
          <w:sz w:val="21"/>
          <w:szCs w:val="21"/>
        </w:rPr>
        <w:t>过其中国合作伙伴提供消费金融及汽车</w:t>
      </w:r>
      <w:r>
        <w:rPr>
          <w:rFonts w:hint="eastAsia" w:ascii="微软雅黑" w:hAnsi="微软雅黑" w:eastAsia="微软雅黑" w:cs="微软雅黑"/>
          <w:sz w:val="21"/>
          <w:szCs w:val="21"/>
          <w:lang w:eastAsia="zh-CN"/>
        </w:rPr>
        <w:t>信贷</w:t>
      </w:r>
      <w:r>
        <w:rPr>
          <w:rFonts w:hint="eastAsia" w:ascii="微软雅黑" w:hAnsi="微软雅黑" w:eastAsia="微软雅黑" w:cs="微软雅黑"/>
          <w:sz w:val="21"/>
          <w:szCs w:val="21"/>
        </w:rPr>
        <w:t>服务</w:t>
      </w:r>
      <w:r>
        <w:rPr>
          <w:rFonts w:hint="eastAsia" w:ascii="微软雅黑" w:hAnsi="微软雅黑" w:eastAsia="微软雅黑" w:cs="微软雅黑"/>
          <w:bCs/>
          <w:sz w:val="21"/>
          <w:szCs w:val="21"/>
        </w:rPr>
        <w:t>。</w:t>
      </w:r>
      <w:r>
        <w:rPr>
          <w:rFonts w:hint="eastAsia" w:ascii="微软雅黑" w:hAnsi="微软雅黑" w:eastAsia="微软雅黑" w:cs="微软雅黑"/>
          <w:sz w:val="21"/>
          <w:szCs w:val="21"/>
        </w:rPr>
        <w:t>2020</w:t>
      </w:r>
      <w:r>
        <w:rPr>
          <w:rFonts w:hint="eastAsia" w:ascii="微软雅黑" w:hAnsi="微软雅黑" w:eastAsia="微软雅黑" w:cs="微软雅黑"/>
          <w:bCs/>
          <w:sz w:val="21"/>
          <w:szCs w:val="21"/>
        </w:rPr>
        <w:t>年</w:t>
      </w:r>
      <w:r>
        <w:rPr>
          <w:rFonts w:hint="eastAsia" w:ascii="微软雅黑" w:hAnsi="微软雅黑" w:eastAsia="微软雅黑" w:cs="微软雅黑"/>
          <w:sz w:val="21"/>
          <w:szCs w:val="21"/>
        </w:rPr>
        <w:t>全球营业额为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rPr>
        <w:t>人民币（币种下同）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
          <w:kern w:val="2"/>
          <w:sz w:val="21"/>
          <w:szCs w:val="21"/>
          <w:lang w:val="en-US" w:eastAsia="zh-CN" w:bidi="ar-SA"/>
        </w:rPr>
        <w:t>被收购方：</w:t>
      </w:r>
      <w:r>
        <w:rPr>
          <w:rFonts w:hint="eastAsia" w:ascii="微软雅黑" w:hAnsi="微软雅黑" w:eastAsia="微软雅黑" w:cs="微软雅黑"/>
          <w:b/>
          <w:sz w:val="21"/>
          <w:szCs w:val="21"/>
        </w:rPr>
        <w:t>浙江智慧</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Cs/>
          <w:sz w:val="21"/>
          <w:szCs w:val="21"/>
        </w:rPr>
        <w:t>2013年8月于</w:t>
      </w:r>
      <w:r>
        <w:rPr>
          <w:rFonts w:hint="eastAsia" w:ascii="微软雅黑" w:hAnsi="微软雅黑" w:eastAsia="微软雅黑" w:cs="微软雅黑"/>
          <w:bCs/>
          <w:sz w:val="21"/>
          <w:szCs w:val="21"/>
          <w:lang w:eastAsia="zh-CN"/>
        </w:rPr>
        <w:t>浙江省</w:t>
      </w:r>
      <w:r>
        <w:rPr>
          <w:rFonts w:hint="eastAsia" w:ascii="微软雅黑" w:hAnsi="微软雅黑" w:eastAsia="微软雅黑" w:cs="微软雅黑"/>
          <w:bCs/>
          <w:sz w:val="21"/>
          <w:szCs w:val="21"/>
        </w:rPr>
        <w:t>宁波市注册成立，主要从事汽车融资租赁业务，由吉利国际（香港）有限公司（以下简称吉利国际）、浙江众尖投资有限公司（以下简称浙江众尖）和浙江吉利汽车有限公司（以下简称吉利汽车）</w:t>
      </w:r>
      <w:r>
        <w:rPr>
          <w:rFonts w:hint="eastAsia" w:ascii="微软雅黑" w:hAnsi="微软雅黑" w:eastAsia="微软雅黑" w:cs="微软雅黑"/>
          <w:bCs/>
          <w:sz w:val="21"/>
          <w:szCs w:val="21"/>
          <w:lang w:eastAsia="zh-CN"/>
        </w:rPr>
        <w:t>分别持股</w:t>
      </w:r>
      <w:r>
        <w:rPr>
          <w:rFonts w:hint="eastAsia" w:ascii="微软雅黑" w:hAnsi="微软雅黑" w:eastAsia="微软雅黑" w:cs="微软雅黑"/>
          <w:bCs/>
          <w:sz w:val="21"/>
          <w:szCs w:val="21"/>
          <w:lang w:val="en-US" w:eastAsia="zh-CN"/>
        </w:rPr>
        <w:t>30%、52%、18%，上</w:t>
      </w:r>
      <w:r>
        <w:rPr>
          <w:rFonts w:hint="eastAsia" w:ascii="微软雅黑" w:hAnsi="微软雅黑" w:eastAsia="微软雅黑" w:cs="微软雅黑"/>
          <w:bCs/>
          <w:sz w:val="21"/>
          <w:szCs w:val="21"/>
        </w:rPr>
        <w:t>述三家企业均为浙江吉利控股集团有限公司（以下简称吉利集团）</w:t>
      </w:r>
      <w:r>
        <w:rPr>
          <w:rFonts w:hint="eastAsia" w:ascii="微软雅黑" w:hAnsi="微软雅黑" w:eastAsia="微软雅黑" w:cs="微软雅黑"/>
          <w:bCs/>
          <w:sz w:val="21"/>
          <w:szCs w:val="21"/>
          <w:lang w:eastAsia="zh-CN"/>
        </w:rPr>
        <w:t>单独控制的</w:t>
      </w:r>
      <w:r>
        <w:rPr>
          <w:rFonts w:hint="eastAsia" w:ascii="微软雅黑" w:hAnsi="微软雅黑" w:eastAsia="微软雅黑" w:cs="微软雅黑"/>
          <w:bCs/>
          <w:sz w:val="21"/>
          <w:szCs w:val="21"/>
        </w:rPr>
        <w:t>企业，最终控制人为自然人李书福。</w:t>
      </w:r>
      <w:r>
        <w:rPr>
          <w:rFonts w:hint="eastAsia" w:ascii="微软雅黑" w:hAnsi="微软雅黑" w:eastAsia="微软雅黑" w:cs="微软雅黑"/>
          <w:bCs/>
          <w:sz w:val="21"/>
          <w:szCs w:val="21"/>
          <w:lang w:eastAsia="zh-CN"/>
        </w:rPr>
        <w:t>吉利集团</w:t>
      </w:r>
      <w:r>
        <w:rPr>
          <w:rFonts w:hint="eastAsia" w:ascii="微软雅黑" w:hAnsi="微软雅黑" w:eastAsia="微软雅黑" w:cs="微软雅黑"/>
          <w:bCs/>
          <w:sz w:val="21"/>
          <w:szCs w:val="21"/>
        </w:rPr>
        <w:t>2020年度全球营业额为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sz w:val="21"/>
          <w:szCs w:val="21"/>
          <w:lang w:eastAsia="zh-CN"/>
        </w:rPr>
        <w:t>该</w:t>
      </w:r>
      <w:r>
        <w:rPr>
          <w:rFonts w:hint="eastAsia" w:ascii="微软雅黑" w:hAnsi="微软雅黑" w:eastAsia="微软雅黑" w:cs="微软雅黑"/>
          <w:sz w:val="21"/>
          <w:szCs w:val="21"/>
          <w:lang w:eastAsia="zh-CN"/>
        </w:rPr>
        <w:t>交易系股权收购</w:t>
      </w:r>
      <w:r>
        <w:rPr>
          <w:rFonts w:hint="eastAsia" w:ascii="微软雅黑" w:hAnsi="微软雅黑" w:eastAsia="微软雅黑" w:cs="微软雅黑"/>
          <w:sz w:val="21"/>
          <w:szCs w:val="21"/>
          <w:lang w:eastAsia="zh-CN"/>
        </w:rPr>
        <w:t>。</w:t>
      </w:r>
      <w:r>
        <w:rPr>
          <w:rFonts w:hint="eastAsia" w:ascii="微软雅黑" w:hAnsi="微软雅黑" w:eastAsia="微软雅黑" w:cs="微软雅黑"/>
          <w:bCs/>
          <w:sz w:val="21"/>
          <w:szCs w:val="21"/>
        </w:rPr>
        <w:t>2021年5月21日，法巴个金和吉利国际、浙江众尖、吉利汽车签署《股权转让协议》，认购浙江智慧20%股权，</w:t>
      </w:r>
      <w:r>
        <w:rPr>
          <w:rFonts w:hint="eastAsia" w:ascii="微软雅黑" w:hAnsi="微软雅黑" w:eastAsia="微软雅黑" w:cs="微软雅黑"/>
          <w:sz w:val="21"/>
          <w:szCs w:val="21"/>
        </w:rPr>
        <w:t>并</w:t>
      </w:r>
      <w:r>
        <w:rPr>
          <w:rFonts w:hint="eastAsia" w:ascii="微软雅黑" w:hAnsi="微软雅黑" w:eastAsia="微软雅黑" w:cs="微软雅黑"/>
          <w:bCs/>
          <w:sz w:val="21"/>
          <w:szCs w:val="21"/>
        </w:rPr>
        <w:t>取得共同控制权。2021年7月22日，交易完成股权变更登记手续</w:t>
      </w:r>
      <w:r>
        <w:rPr>
          <w:rFonts w:hint="eastAsia" w:ascii="微软雅黑" w:hAnsi="微软雅黑" w:eastAsia="微软雅黑" w:cs="微软雅黑"/>
          <w:b w:val="0"/>
          <w:bCs w:val="0"/>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Cs/>
          <w:sz w:val="21"/>
          <w:szCs w:val="21"/>
        </w:rPr>
        <w:t>2021年5月21日</w:t>
      </w:r>
      <w:r>
        <w:rPr>
          <w:rFonts w:hint="eastAsia" w:ascii="微软雅黑" w:hAnsi="微软雅黑" w:eastAsia="微软雅黑" w:cs="微软雅黑"/>
          <w:b w:val="0"/>
          <w:bCs w:val="0"/>
          <w:kern w:val="2"/>
          <w:sz w:val="21"/>
          <w:szCs w:val="21"/>
          <w:lang w:val="en-US" w:eastAsia="zh-CN" w:bidi="ar-SA"/>
        </w:rPr>
        <w:t>，法巴个金收购浙江智慧</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w:t>
      </w:r>
      <w:r>
        <w:rPr>
          <w:rFonts w:hint="eastAsia" w:ascii="微软雅黑" w:hAnsi="微软雅黑" w:eastAsia="微软雅黑" w:cs="微软雅黑"/>
          <w:b w:val="0"/>
          <w:bCs w:val="0"/>
          <w:kern w:val="2"/>
          <w:sz w:val="21"/>
          <w:szCs w:val="21"/>
          <w:lang w:val="en-US" w:eastAsia="zh-CN" w:bidi="ar-SA"/>
        </w:rPr>
        <w:t>股权，</w:t>
      </w:r>
      <w:r>
        <w:rPr>
          <w:rFonts w:hint="eastAsia" w:ascii="微软雅黑" w:hAnsi="微软雅黑" w:eastAsia="微软雅黑" w:cs="微软雅黑"/>
          <w:bCs/>
          <w:kern w:val="2"/>
          <w:sz w:val="21"/>
          <w:szCs w:val="21"/>
          <w:lang w:val="en-US" w:eastAsia="zh-CN" w:bidi="ar-SA"/>
        </w:rPr>
        <w:t>取得共同控制权</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2020</w:t>
      </w:r>
      <w:r>
        <w:rPr>
          <w:rFonts w:hint="eastAsia" w:ascii="微软雅黑" w:hAnsi="微软雅黑" w:eastAsia="微软雅黑" w:cs="微软雅黑"/>
          <w:bCs/>
          <w:sz w:val="21"/>
          <w:szCs w:val="21"/>
        </w:rPr>
        <w:t>年度，法巴个金</w:t>
      </w:r>
      <w:r>
        <w:rPr>
          <w:rFonts w:hint="eastAsia" w:ascii="微软雅黑" w:hAnsi="微软雅黑" w:eastAsia="微软雅黑" w:cs="微软雅黑"/>
          <w:sz w:val="21"/>
          <w:szCs w:val="21"/>
        </w:rPr>
        <w:t>全球营业额为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吉利集团</w:t>
      </w:r>
      <w:r>
        <w:rPr>
          <w:rFonts w:hint="eastAsia" w:ascii="微软雅黑" w:hAnsi="微软雅黑" w:eastAsia="微软雅黑" w:cs="微软雅黑"/>
          <w:bCs/>
          <w:sz w:val="21"/>
          <w:szCs w:val="21"/>
        </w:rPr>
        <w:t>全球营业额为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Cs/>
          <w:sz w:val="21"/>
          <w:szCs w:val="21"/>
        </w:rPr>
        <w:t>2021年7月22日</w:t>
      </w:r>
      <w:r>
        <w:rPr>
          <w:rFonts w:hint="eastAsia" w:ascii="微软雅黑" w:hAnsi="微软雅黑" w:eastAsia="微软雅黑" w:cs="微软雅黑"/>
          <w:bCs/>
          <w:sz w:val="21"/>
          <w:szCs w:val="21"/>
        </w:rPr>
        <w:t>，</w:t>
      </w:r>
      <w:r>
        <w:rPr>
          <w:rFonts w:hint="eastAsia" w:ascii="微软雅黑" w:hAnsi="微软雅黑" w:eastAsia="微软雅黑" w:cs="微软雅黑"/>
          <w:b w:val="0"/>
          <w:bCs w:val="0"/>
          <w:kern w:val="2"/>
          <w:sz w:val="21"/>
          <w:szCs w:val="21"/>
          <w:lang w:val="en-US" w:eastAsia="zh-CN" w:bidi="ar-SA"/>
        </w:rPr>
        <w:t>上述交易</w:t>
      </w:r>
      <w:r>
        <w:rPr>
          <w:rFonts w:hint="eastAsia" w:ascii="微软雅黑" w:hAnsi="微软雅黑" w:eastAsia="微软雅黑" w:cs="微软雅黑"/>
          <w:b w:val="0"/>
          <w:bCs w:val="0"/>
          <w:kern w:val="2"/>
          <w:sz w:val="21"/>
          <w:szCs w:val="21"/>
          <w:lang w:val="en-US" w:eastAsia="zh-CN" w:bidi="ar-SA"/>
        </w:rPr>
        <w:t>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法巴个金</w:t>
      </w:r>
      <w:r>
        <w:rPr>
          <w:rFonts w:hint="eastAsia" w:ascii="微软雅黑" w:hAnsi="微软雅黑" w:eastAsia="微软雅黑" w:cs="微软雅黑"/>
          <w:b w:val="0"/>
          <w:bCs w:val="0"/>
          <w:kern w:val="2"/>
          <w:sz w:val="21"/>
          <w:szCs w:val="21"/>
          <w:lang w:val="en-US" w:eastAsia="zh-CN" w:bidi="ar-SA"/>
        </w:rPr>
        <w:t>收购</w:t>
      </w:r>
      <w:r>
        <w:rPr>
          <w:rFonts w:hint="eastAsia" w:ascii="微软雅黑" w:hAnsi="微软雅黑" w:eastAsia="微软雅黑" w:cs="微软雅黑"/>
          <w:b w:val="0"/>
          <w:bCs w:val="0"/>
          <w:kern w:val="2"/>
          <w:sz w:val="21"/>
          <w:szCs w:val="21"/>
          <w:lang w:val="en-US" w:eastAsia="zh-CN" w:bidi="ar-SA"/>
        </w:rPr>
        <w:t>浙江智慧</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决定</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color w:val="000000"/>
          <w:kern w:val="2"/>
          <w:sz w:val="21"/>
          <w:szCs w:val="21"/>
          <w:lang w:val="en-US" w:eastAsia="zh-CN"/>
        </w:rPr>
        <w:t>法巴个金3</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val="en-US"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0000002200221107。到期不缴纳罚款的，依据《行政处罚法》第七十二条的规定，本机关将每日按罚款数额的百分之三加处罚款,并依法申请人民法院强制执行。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9474A"/>
    <w:rsid w:val="0D5C4364"/>
    <w:rsid w:val="26B261F2"/>
    <w:rsid w:val="298A6186"/>
    <w:rsid w:val="2D583B73"/>
    <w:rsid w:val="2E443989"/>
    <w:rsid w:val="385C7EA8"/>
    <w:rsid w:val="42075BDD"/>
    <w:rsid w:val="43FF4C44"/>
    <w:rsid w:val="7638716C"/>
    <w:rsid w:val="76EE2E73"/>
    <w:rsid w:val="DF3F8E31"/>
    <w:rsid w:val="DF5FC92A"/>
    <w:rsid w:val="F7AA5C0A"/>
    <w:rsid w:val="FFBCF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xielin</dc:creator>
  <cp:lastModifiedBy>陈永仁</cp:lastModifiedBy>
  <cp:lastPrinted>2022-03-30T08:27:00Z</cp:lastPrinted>
  <dcterms:modified xsi:type="dcterms:W3CDTF">2022-04-14T07:28:17Z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0ACDEFBE718048C086E402D6FC78EF2F</vt:lpwstr>
  </property>
</Properties>
</file>