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bCs/>
          <w:color w:val="000000"/>
          <w:kern w:val="2"/>
          <w:sz w:val="21"/>
          <w:szCs w:val="21"/>
        </w:rPr>
      </w:pPr>
      <w:bookmarkStart w:id="0" w:name="_GoBack"/>
      <w:r>
        <w:rPr>
          <w:rFonts w:hint="eastAsia" w:ascii="微软雅黑" w:hAnsi="微软雅黑" w:eastAsia="微软雅黑" w:cs="微软雅黑"/>
          <w:bCs/>
          <w:color w:val="000000"/>
          <w:spacing w:val="202"/>
          <w:kern w:val="0"/>
          <w:sz w:val="21"/>
          <w:szCs w:val="21"/>
          <w:fitText w:val="5742" w:id="1450529788"/>
        </w:rPr>
        <w:t>国家市场监督管理总</w:t>
      </w:r>
      <w:r>
        <w:rPr>
          <w:rFonts w:hint="eastAsia" w:ascii="微软雅黑" w:hAnsi="微软雅黑" w:eastAsia="微软雅黑" w:cs="微软雅黑"/>
          <w:bCs/>
          <w:color w:val="000000"/>
          <w:spacing w:val="3"/>
          <w:kern w:val="0"/>
          <w:sz w:val="21"/>
          <w:szCs w:val="21"/>
          <w:fitText w:val="5742" w:id="1450529788"/>
        </w:rPr>
        <w:t>局</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94" w:lineRule="exact"/>
        <w:jc w:val="center"/>
        <w:textAlignment w:val="auto"/>
        <w:rPr>
          <w:rFonts w:hint="eastAsia" w:ascii="微软雅黑" w:hAnsi="微软雅黑" w:eastAsia="微软雅黑" w:cs="微软雅黑"/>
          <w:kern w:val="2"/>
          <w:sz w:val="21"/>
          <w:szCs w:val="21"/>
        </w:rPr>
      </w:pP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highlight w:val="none"/>
        </w:rPr>
        <w:t>阿波罗亚洲联合运营平台有限公司（</w:t>
      </w:r>
      <w:r>
        <w:rPr>
          <w:rFonts w:hint="eastAsia" w:ascii="微软雅黑" w:hAnsi="微软雅黑" w:eastAsia="微软雅黑" w:cs="微软雅黑"/>
          <w:sz w:val="21"/>
          <w:szCs w:val="21"/>
          <w:highlight w:val="none"/>
        </w:rPr>
        <w:t>AGRE Asia Link Operating Platform Limited</w:t>
      </w:r>
      <w:r>
        <w:rPr>
          <w:rFonts w:hint="eastAsia" w:ascii="微软雅黑" w:hAnsi="微软雅黑" w:eastAsia="微软雅黑" w:cs="微软雅黑"/>
          <w:sz w:val="21"/>
          <w:szCs w:val="21"/>
          <w:highlight w:val="none"/>
          <w:lang w:val="en-US" w:eastAsia="zh-CN"/>
        </w:rPr>
        <w:t>）</w:t>
      </w:r>
    </w:p>
    <w:p>
      <w:pPr>
        <w:pStyle w:val="2"/>
        <w:keepNext w:val="0"/>
        <w:keepLines w:val="0"/>
        <w:pageBreakBefore w:val="0"/>
        <w:widowControl w:val="0"/>
        <w:kinsoku/>
        <w:wordWrap/>
        <w:topLinePunct w:val="0"/>
        <w:bidi w:val="0"/>
        <w:spacing w:line="594" w:lineRule="exact"/>
        <w:ind w:left="0" w:leftChars="0" w:firstLine="402" w:firstLineChars="197"/>
        <w:textAlignment w:val="auto"/>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 xml:space="preserve">住 </w:t>
      </w:r>
      <w:r>
        <w:rPr>
          <w:rFonts w:hint="eastAsia" w:ascii="微软雅黑" w:hAnsi="微软雅黑" w:eastAsia="微软雅黑" w:cs="微软雅黑"/>
          <w:kern w:val="2"/>
          <w:sz w:val="21"/>
          <w:szCs w:val="21"/>
          <w:lang w:val="en-US" w:eastAsia="zh-CN"/>
        </w:rPr>
        <w:t xml:space="preserve"> </w:t>
      </w:r>
      <w:r>
        <w:rPr>
          <w:rFonts w:hint="eastAsia" w:ascii="微软雅黑" w:hAnsi="微软雅黑" w:eastAsia="微软雅黑" w:cs="微软雅黑"/>
          <w:kern w:val="2"/>
          <w:sz w:val="21"/>
          <w:szCs w:val="21"/>
        </w:rPr>
        <w:t>所：Intertrust Corporate Services (BVI) Limited, Ritter House, Wickhams Cay II, Road Town, Tortola VG 1110</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408" w:firstLineChars="200"/>
        <w:textAlignment w:val="auto"/>
        <w:outlineLvl w:val="9"/>
        <w:rPr>
          <w:rFonts w:hint="eastAsia" w:ascii="微软雅黑" w:hAnsi="微软雅黑" w:eastAsia="微软雅黑" w:cs="微软雅黑"/>
          <w:color w:val="auto"/>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2021年11月19日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kern w:val="2"/>
          <w:sz w:val="21"/>
          <w:szCs w:val="21"/>
          <w:lang w:eastAsia="zh-CN"/>
        </w:rPr>
        <w:t>阿波罗亚洲联合运营平台有限公司（AGRE Asia Link Operating Platform Limited,以下简称阿波罗亚洲联合）收购广日有限公司（以下简称广日）股权</w:t>
      </w:r>
      <w:r>
        <w:rPr>
          <w:rFonts w:hint="eastAsia" w:ascii="微软雅黑" w:hAnsi="微软雅黑" w:eastAsia="微软雅黑" w:cs="微软雅黑"/>
          <w:sz w:val="21"/>
          <w:szCs w:val="21"/>
        </w:rPr>
        <w:t>涉嫌</w:t>
      </w:r>
      <w:r>
        <w:rPr>
          <w:rFonts w:hint="eastAsia" w:ascii="微软雅黑" w:hAnsi="微软雅黑" w:eastAsia="微软雅黑" w:cs="微软雅黑"/>
          <w:color w:val="auto"/>
          <w:sz w:val="21"/>
          <w:szCs w:val="21"/>
          <w:lang w:val="en-US" w:eastAsia="zh-CN"/>
        </w:rPr>
        <w:t>未依法申报</w:t>
      </w:r>
      <w:r>
        <w:rPr>
          <w:rFonts w:hint="eastAsia" w:ascii="微软雅黑" w:hAnsi="微软雅黑" w:eastAsia="微软雅黑" w:cs="微软雅黑"/>
          <w:color w:val="auto"/>
          <w:sz w:val="21"/>
          <w:szCs w:val="21"/>
          <w:lang w:val="en-US" w:eastAsia="zh-CN"/>
        </w:rPr>
        <w:t>违法实施经营者集中案</w:t>
      </w:r>
      <w:r>
        <w:rPr>
          <w:rFonts w:hint="eastAsia" w:ascii="微软雅黑" w:hAnsi="微软雅黑" w:eastAsia="微软雅黑" w:cs="微软雅黑"/>
          <w:color w:val="auto"/>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color w:val="auto"/>
          <w:kern w:val="2"/>
          <w:sz w:val="21"/>
          <w:szCs w:val="21"/>
        </w:rPr>
        <w:t>经查，该案构成</w:t>
      </w:r>
      <w:r>
        <w:rPr>
          <w:rFonts w:hint="eastAsia" w:ascii="微软雅黑" w:hAnsi="微软雅黑" w:eastAsia="微软雅黑" w:cs="微软雅黑"/>
          <w:color w:val="auto"/>
          <w:kern w:val="2"/>
          <w:sz w:val="21"/>
          <w:szCs w:val="21"/>
          <w:lang w:eastAsia="zh-CN"/>
        </w:rPr>
        <w:t>未依法申报</w:t>
      </w:r>
      <w:r>
        <w:rPr>
          <w:rFonts w:hint="eastAsia" w:ascii="微软雅黑" w:hAnsi="微软雅黑" w:eastAsia="微软雅黑" w:cs="微软雅黑"/>
          <w:color w:val="auto"/>
          <w:kern w:val="2"/>
          <w:sz w:val="21"/>
          <w:szCs w:val="21"/>
        </w:rPr>
        <w:t>违法实施经营者集中，但不具有排除、限制竞争的效果。本机关按照《</w:t>
      </w:r>
      <w:r>
        <w:rPr>
          <w:rFonts w:hint="eastAsia" w:ascii="微软雅黑" w:hAnsi="微软雅黑" w:eastAsia="微软雅黑" w:cs="微软雅黑"/>
          <w:color w:val="auto"/>
          <w:kern w:val="2"/>
          <w:sz w:val="21"/>
          <w:szCs w:val="21"/>
          <w:lang w:eastAsia="zh-CN"/>
        </w:rPr>
        <w:t>中华人民共和国</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（以下简称</w:t>
      </w:r>
      <w:r>
        <w:rPr>
          <w:rFonts w:hint="eastAsia" w:ascii="微软雅黑" w:hAnsi="微软雅黑" w:eastAsia="微软雅黑" w:cs="微软雅黑"/>
          <w:color w:val="auto"/>
          <w:kern w:val="2"/>
          <w:sz w:val="21"/>
          <w:szCs w:val="21"/>
        </w:rPr>
        <w:t>《行政处罚法》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kern w:val="2"/>
          <w:sz w:val="21"/>
          <w:szCs w:val="21"/>
        </w:rPr>
        <w:t>的规定，向</w:t>
      </w:r>
      <w:r>
        <w:rPr>
          <w:rFonts w:hint="eastAsia" w:ascii="微软雅黑" w:hAnsi="微软雅黑" w:eastAsia="微软雅黑" w:cs="微软雅黑"/>
          <w:sz w:val="21"/>
          <w:szCs w:val="21"/>
          <w:lang w:val="en-US" w:eastAsia="zh-CN"/>
        </w:rPr>
        <w:t>阿波罗亚洲联合</w:t>
      </w:r>
      <w:r>
        <w:rPr>
          <w:rFonts w:hint="eastAsia" w:ascii="微软雅黑" w:hAnsi="微软雅黑" w:eastAsia="微软雅黑" w:cs="微软雅黑"/>
          <w:color w:val="auto"/>
          <w:kern w:val="2"/>
          <w:sz w:val="21"/>
          <w:szCs w:val="21"/>
        </w:rPr>
        <w:t>送达了《行政处罚告知书》，告知</w:t>
      </w:r>
      <w:r>
        <w:rPr>
          <w:rFonts w:hint="eastAsia" w:ascii="微软雅黑" w:hAnsi="微软雅黑" w:eastAsia="微软雅黑" w:cs="微软雅黑"/>
          <w:color w:val="auto"/>
          <w:kern w:val="2"/>
          <w:sz w:val="21"/>
          <w:szCs w:val="21"/>
          <w:lang w:eastAsia="zh-CN"/>
        </w:rPr>
        <w:t>当事人</w:t>
      </w:r>
      <w:r>
        <w:rPr>
          <w:rFonts w:hint="eastAsia" w:ascii="微软雅黑" w:hAnsi="微软雅黑" w:eastAsia="微软雅黑" w:cs="微软雅黑"/>
          <w:color w:val="auto"/>
          <w:kern w:val="2"/>
          <w:sz w:val="21"/>
          <w:szCs w:val="21"/>
        </w:rPr>
        <w:t>拟作出</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行政处罚</w:t>
      </w:r>
      <w:r>
        <w:rPr>
          <w:rFonts w:hint="eastAsia" w:ascii="微软雅黑" w:hAnsi="微软雅黑" w:eastAsia="微软雅黑" w:cs="微软雅黑"/>
          <w:color w:val="auto"/>
          <w:kern w:val="2"/>
          <w:sz w:val="21"/>
          <w:szCs w:val="21"/>
          <w:lang w:eastAsia="zh-CN"/>
        </w:rPr>
        <w:t>内容及</w:t>
      </w:r>
      <w:r>
        <w:rPr>
          <w:rFonts w:hint="eastAsia" w:ascii="微软雅黑" w:hAnsi="微软雅黑" w:eastAsia="微软雅黑" w:cs="微软雅黑"/>
          <w:color w:val="auto"/>
          <w:kern w:val="2"/>
          <w:sz w:val="21"/>
          <w:szCs w:val="21"/>
        </w:rPr>
        <w:t>事实、理由、</w:t>
      </w:r>
      <w:r>
        <w:rPr>
          <w:rFonts w:hint="eastAsia" w:ascii="微软雅黑" w:hAnsi="微软雅黑" w:eastAsia="微软雅黑" w:cs="微软雅黑"/>
          <w:color w:val="auto"/>
          <w:kern w:val="2"/>
          <w:sz w:val="21"/>
          <w:szCs w:val="21"/>
          <w:lang w:eastAsia="zh-CN"/>
        </w:rPr>
        <w:t>依据</w:t>
      </w:r>
      <w:r>
        <w:rPr>
          <w:rFonts w:hint="eastAsia" w:ascii="微软雅黑" w:hAnsi="微软雅黑" w:eastAsia="微软雅黑" w:cs="微软雅黑"/>
          <w:color w:val="auto"/>
          <w:kern w:val="2"/>
          <w:sz w:val="21"/>
          <w:szCs w:val="21"/>
        </w:rPr>
        <w:t>，</w:t>
      </w:r>
      <w:r>
        <w:rPr>
          <w:rFonts w:hint="eastAsia" w:ascii="微软雅黑" w:hAnsi="微软雅黑" w:eastAsia="微软雅黑" w:cs="微软雅黑"/>
          <w:color w:val="auto"/>
          <w:kern w:val="2"/>
          <w:sz w:val="21"/>
          <w:szCs w:val="21"/>
          <w:lang w:eastAsia="zh-CN"/>
        </w:rPr>
        <w:t>并告知当事人</w:t>
      </w:r>
      <w:r>
        <w:rPr>
          <w:rFonts w:hint="eastAsia" w:ascii="微软雅黑" w:hAnsi="微软雅黑" w:eastAsia="微软雅黑" w:cs="微软雅黑"/>
          <w:color w:val="auto"/>
          <w:kern w:val="2"/>
          <w:sz w:val="21"/>
          <w:szCs w:val="21"/>
        </w:rPr>
        <w:t>依法享有的陈述、申辩</w:t>
      </w:r>
      <w:r>
        <w:rPr>
          <w:rFonts w:hint="eastAsia" w:ascii="微软雅黑" w:hAnsi="微软雅黑" w:eastAsia="微软雅黑" w:cs="微软雅黑"/>
          <w:color w:val="auto"/>
          <w:kern w:val="2"/>
          <w:sz w:val="21"/>
          <w:szCs w:val="21"/>
          <w:lang w:eastAsia="zh-CN"/>
        </w:rPr>
        <w:t>、</w:t>
      </w:r>
      <w:r>
        <w:rPr>
          <w:rFonts w:hint="eastAsia" w:ascii="微软雅黑" w:hAnsi="微软雅黑" w:eastAsia="微软雅黑" w:cs="微软雅黑"/>
          <w:color w:val="auto"/>
          <w:kern w:val="2"/>
          <w:sz w:val="21"/>
          <w:szCs w:val="21"/>
        </w:rPr>
        <w:t>要求听证</w:t>
      </w:r>
      <w:r>
        <w:rPr>
          <w:rFonts w:hint="eastAsia" w:ascii="微软雅黑" w:hAnsi="微软雅黑" w:eastAsia="微软雅黑" w:cs="微软雅黑"/>
          <w:color w:val="auto"/>
          <w:kern w:val="2"/>
          <w:sz w:val="21"/>
          <w:szCs w:val="21"/>
          <w:lang w:eastAsia="zh-CN"/>
        </w:rPr>
        <w:t>的</w:t>
      </w:r>
      <w:r>
        <w:rPr>
          <w:rFonts w:hint="eastAsia" w:ascii="微软雅黑" w:hAnsi="微软雅黑" w:eastAsia="微软雅黑" w:cs="微软雅黑"/>
          <w:color w:val="auto"/>
          <w:kern w:val="2"/>
          <w:sz w:val="21"/>
          <w:szCs w:val="21"/>
        </w:rPr>
        <w:t>权</w:t>
      </w:r>
      <w:r>
        <w:rPr>
          <w:rFonts w:hint="eastAsia" w:ascii="微软雅黑" w:hAnsi="微软雅黑" w:eastAsia="微软雅黑" w:cs="微软雅黑"/>
          <w:color w:val="auto"/>
          <w:kern w:val="2"/>
          <w:sz w:val="21"/>
          <w:szCs w:val="21"/>
          <w:lang w:eastAsia="zh-CN"/>
        </w:rPr>
        <w:t>利</w:t>
      </w:r>
      <w:r>
        <w:rPr>
          <w:rFonts w:hint="eastAsia" w:ascii="微软雅黑" w:hAnsi="微软雅黑" w:eastAsia="微软雅黑" w:cs="微软雅黑"/>
          <w:kern w:val="2"/>
          <w:sz w:val="21"/>
          <w:szCs w:val="21"/>
        </w:rPr>
        <w:t>。</w:t>
      </w:r>
      <w:r>
        <w:rPr>
          <w:rFonts w:hint="eastAsia" w:ascii="微软雅黑" w:hAnsi="微软雅黑" w:eastAsia="微软雅黑" w:cs="微软雅黑"/>
          <w:sz w:val="21"/>
          <w:szCs w:val="21"/>
          <w:lang w:val="en-US" w:eastAsia="zh-CN"/>
        </w:rPr>
        <w:t>阿波罗亚洲联合</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Style w:val="9"/>
        <w:pageBreakBefore w:val="0"/>
        <w:kinsoku/>
        <w:topLinePunct w:val="0"/>
        <w:bidi w:val="0"/>
        <w:spacing w:line="594" w:lineRule="exact"/>
        <w:ind w:firstLine="641"/>
        <w:textAlignment w:val="auto"/>
        <w:rPr>
          <w:rFonts w:hint="eastAsia" w:ascii="微软雅黑" w:hAnsi="微软雅黑" w:eastAsia="微软雅黑" w:cs="微软雅黑"/>
          <w:b w:val="0"/>
          <w:bCs/>
          <w:sz w:val="21"/>
          <w:szCs w:val="21"/>
          <w:highlight w:val="none"/>
        </w:rPr>
      </w:pPr>
      <w:r>
        <w:rPr>
          <w:rFonts w:hint="eastAsia" w:ascii="微软雅黑" w:hAnsi="微软雅黑" w:eastAsia="微软雅黑" w:cs="微软雅黑"/>
          <w:b w:val="0"/>
          <w:bCs/>
          <w:kern w:val="2"/>
          <w:sz w:val="21"/>
          <w:szCs w:val="21"/>
          <w:lang w:val="en-US" w:eastAsia="zh-CN" w:bidi="ar-SA"/>
        </w:rPr>
        <w:t>收购方：</w:t>
      </w:r>
      <w:r>
        <w:rPr>
          <w:rFonts w:hint="eastAsia" w:ascii="微软雅黑" w:hAnsi="微软雅黑" w:eastAsia="微软雅黑" w:cs="微软雅黑"/>
          <w:b w:val="0"/>
          <w:bCs/>
          <w:kern w:val="2"/>
          <w:sz w:val="21"/>
          <w:szCs w:val="21"/>
          <w:lang w:val="en-US" w:eastAsia="zh-CN" w:bidi="ar-SA"/>
        </w:rPr>
        <w:t>阿波罗亚洲联合</w:t>
      </w:r>
      <w:r>
        <w:rPr>
          <w:rFonts w:hint="eastAsia" w:ascii="微软雅黑" w:hAnsi="微软雅黑" w:eastAsia="微软雅黑" w:cs="微软雅黑"/>
          <w:b w:val="0"/>
          <w:bCs/>
          <w:kern w:val="2"/>
          <w:sz w:val="21"/>
          <w:szCs w:val="21"/>
          <w:lang w:val="en-US" w:eastAsia="zh-CN" w:bidi="ar-SA"/>
        </w:rPr>
        <w:t>。</w:t>
      </w:r>
      <w:r>
        <w:rPr>
          <w:rFonts w:hint="eastAsia" w:ascii="微软雅黑" w:hAnsi="微软雅黑" w:eastAsia="微软雅黑" w:cs="微软雅黑"/>
          <w:b w:val="0"/>
          <w:bCs/>
          <w:color w:val="000000"/>
          <w:sz w:val="21"/>
          <w:szCs w:val="21"/>
          <w:highlight w:val="none"/>
        </w:rPr>
        <w:t>2017年于英属维尔京群岛注册成立，其交易前最终控制人是</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color w:val="000000"/>
          <w:sz w:val="21"/>
          <w:szCs w:val="21"/>
          <w:highlight w:val="none"/>
        </w:rPr>
        <w:t>，主要</w:t>
      </w:r>
      <w:r>
        <w:rPr>
          <w:rFonts w:hint="eastAsia" w:ascii="微软雅黑" w:hAnsi="微软雅黑" w:eastAsia="微软雅黑" w:cs="微软雅黑"/>
          <w:b w:val="0"/>
          <w:bCs/>
          <w:sz w:val="21"/>
          <w:szCs w:val="21"/>
          <w:highlight w:val="none"/>
        </w:rPr>
        <w:t>提供投资管理服务</w:t>
      </w:r>
      <w:r>
        <w:rPr>
          <w:rFonts w:hint="eastAsia" w:ascii="微软雅黑" w:hAnsi="微软雅黑" w:eastAsia="微软雅黑" w:cs="微软雅黑"/>
          <w:b w:val="0"/>
          <w:bCs/>
          <w:color w:val="000000"/>
          <w:sz w:val="21"/>
          <w:szCs w:val="21"/>
          <w:highlight w:val="none"/>
        </w:rPr>
        <w:t>。201</w:t>
      </w:r>
      <w:r>
        <w:rPr>
          <w:rFonts w:hint="eastAsia" w:ascii="微软雅黑" w:hAnsi="微软雅黑" w:eastAsia="微软雅黑" w:cs="微软雅黑"/>
          <w:b w:val="0"/>
          <w:bCs/>
          <w:color w:val="000000"/>
          <w:sz w:val="21"/>
          <w:szCs w:val="21"/>
          <w:highlight w:val="none"/>
        </w:rPr>
        <w:t>6</w:t>
      </w:r>
      <w:r>
        <w:rPr>
          <w:rFonts w:hint="eastAsia" w:ascii="微软雅黑" w:hAnsi="微软雅黑" w:eastAsia="微软雅黑" w:cs="微软雅黑"/>
          <w:b w:val="0"/>
          <w:bCs/>
          <w:color w:val="000000"/>
          <w:sz w:val="21"/>
          <w:szCs w:val="21"/>
          <w:highlight w:val="none"/>
        </w:rPr>
        <w:t>年</w:t>
      </w:r>
      <w:r>
        <w:rPr>
          <w:rFonts w:hint="eastAsia" w:ascii="微软雅黑" w:hAnsi="微软雅黑" w:eastAsia="微软雅黑" w:cs="微软雅黑"/>
          <w:b w:val="0"/>
          <w:bCs/>
          <w:color w:val="000000"/>
          <w:sz w:val="21"/>
          <w:szCs w:val="21"/>
          <w:highlight w:val="none"/>
        </w:rPr>
        <w:t>，阿波罗亚洲联合</w:t>
      </w:r>
      <w:r>
        <w:rPr>
          <w:rFonts w:hint="eastAsia" w:ascii="微软雅黑" w:hAnsi="微软雅黑" w:eastAsia="微软雅黑" w:cs="微软雅黑"/>
          <w:b w:val="0"/>
          <w:bCs/>
          <w:color w:val="000000"/>
          <w:sz w:val="21"/>
          <w:szCs w:val="21"/>
          <w:highlight w:val="none"/>
        </w:rPr>
        <w:t>全球营业额为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color w:val="000000"/>
          <w:sz w:val="21"/>
          <w:szCs w:val="21"/>
          <w:highlight w:val="none"/>
        </w:rPr>
        <w:t>人民币</w:t>
      </w:r>
      <w:r>
        <w:rPr>
          <w:rFonts w:hint="eastAsia" w:ascii="微软雅黑" w:hAnsi="微软雅黑" w:eastAsia="微软雅黑" w:cs="微软雅黑"/>
          <w:b w:val="0"/>
          <w:bCs/>
          <w:sz w:val="21"/>
          <w:szCs w:val="21"/>
          <w:highlight w:val="none"/>
        </w:rPr>
        <w:t>（币种下同），中国境内营业额为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sz w:val="21"/>
          <w:szCs w:val="21"/>
          <w:highlight w:val="none"/>
        </w:rPr>
        <w:t>。</w:t>
      </w:r>
    </w:p>
    <w:p>
      <w:pPr>
        <w:suppressAutoHyphens/>
        <w:overflowPunct w:val="0"/>
        <w:autoSpaceDE w:val="0"/>
        <w:autoSpaceDN w:val="0"/>
        <w:adjustRightInd w:val="0"/>
        <w:spacing w:line="594" w:lineRule="exact"/>
        <w:ind w:firstLine="408" w:firstLineChars="200"/>
        <w:rPr>
          <w:rFonts w:hint="eastAsia" w:ascii="微软雅黑" w:hAnsi="微软雅黑" w:eastAsia="微软雅黑" w:cs="微软雅黑"/>
          <w:b w:val="0"/>
          <w:bCs/>
          <w:color w:val="000000"/>
          <w:sz w:val="21"/>
          <w:szCs w:val="21"/>
          <w:highlight w:val="none"/>
        </w:rPr>
      </w:pPr>
      <w:r>
        <w:rPr>
          <w:rFonts w:hint="eastAsia" w:ascii="微软雅黑" w:hAnsi="微软雅黑" w:eastAsia="微软雅黑" w:cs="微软雅黑"/>
          <w:b w:val="0"/>
          <w:bCs/>
          <w:sz w:val="21"/>
          <w:szCs w:val="21"/>
        </w:rPr>
        <w:t>被收购方：</w:t>
      </w:r>
      <w:r>
        <w:rPr>
          <w:rFonts w:hint="eastAsia" w:ascii="微软雅黑" w:hAnsi="微软雅黑" w:eastAsia="微软雅黑" w:cs="微软雅黑"/>
          <w:b w:val="0"/>
          <w:bCs/>
          <w:sz w:val="21"/>
          <w:szCs w:val="21"/>
          <w:lang w:eastAsia="zh-CN"/>
        </w:rPr>
        <w:t>广日</w:t>
      </w:r>
      <w:r>
        <w:rPr>
          <w:rFonts w:hint="eastAsia" w:ascii="微软雅黑" w:hAnsi="微软雅黑" w:eastAsia="微软雅黑" w:cs="微软雅黑"/>
          <w:b w:val="0"/>
          <w:bCs/>
          <w:sz w:val="21"/>
          <w:szCs w:val="21"/>
        </w:rPr>
        <w:t>。</w:t>
      </w:r>
      <w:r>
        <w:rPr>
          <w:rFonts w:hint="eastAsia" w:ascii="微软雅黑" w:hAnsi="微软雅黑" w:eastAsia="微软雅黑" w:cs="微软雅黑"/>
          <w:b w:val="0"/>
          <w:bCs/>
          <w:color w:val="000000"/>
          <w:sz w:val="21"/>
          <w:szCs w:val="21"/>
          <w:highlight w:val="none"/>
        </w:rPr>
        <w:t>2017年于英属维尔京群岛注册成立，交易前是金地商置集团有限公司（以下简称金地商置）全资控股子公司</w:t>
      </w:r>
      <w:r>
        <w:rPr>
          <w:rFonts w:hint="eastAsia" w:ascii="微软雅黑" w:hAnsi="微软雅黑" w:eastAsia="微软雅黑" w:cs="微软雅黑"/>
          <w:b w:val="0"/>
          <w:bCs/>
          <w:color w:val="000000"/>
          <w:sz w:val="21"/>
          <w:szCs w:val="21"/>
          <w:highlight w:val="none"/>
        </w:rPr>
        <w:t>。广日</w:t>
      </w:r>
      <w:r>
        <w:rPr>
          <w:rFonts w:hint="eastAsia" w:ascii="微软雅黑" w:hAnsi="微软雅黑" w:eastAsia="微软雅黑" w:cs="微软雅黑"/>
          <w:b w:val="0"/>
          <w:bCs/>
          <w:color w:val="000000"/>
          <w:sz w:val="21"/>
          <w:szCs w:val="21"/>
          <w:highlight w:val="none"/>
        </w:rPr>
        <w:t>主要从事</w:t>
      </w:r>
      <w:r>
        <w:rPr>
          <w:rFonts w:hint="eastAsia" w:ascii="微软雅黑" w:hAnsi="微软雅黑" w:eastAsia="微软雅黑" w:cs="微软雅黑"/>
          <w:b w:val="0"/>
          <w:bCs/>
          <w:color w:val="000000"/>
          <w:sz w:val="21"/>
          <w:szCs w:val="21"/>
          <w:highlight w:val="none"/>
        </w:rPr>
        <w:t>上海市</w:t>
      </w:r>
      <w:r>
        <w:rPr>
          <w:rFonts w:hint="eastAsia" w:ascii="微软雅黑" w:hAnsi="微软雅黑" w:eastAsia="微软雅黑" w:cs="微软雅黑"/>
          <w:b w:val="0"/>
          <w:bCs/>
          <w:color w:val="000000"/>
          <w:sz w:val="21"/>
          <w:szCs w:val="21"/>
          <w:highlight w:val="none"/>
        </w:rPr>
        <w:t>工业</w:t>
      </w:r>
      <w:r>
        <w:rPr>
          <w:rFonts w:hint="eastAsia" w:ascii="微软雅黑" w:hAnsi="微软雅黑" w:eastAsia="微软雅黑" w:cs="微软雅黑"/>
          <w:b w:val="0"/>
          <w:bCs/>
          <w:color w:val="000000"/>
          <w:sz w:val="21"/>
          <w:szCs w:val="21"/>
          <w:highlight w:val="none"/>
          <w:lang w:eastAsia="zh-CN"/>
        </w:rPr>
        <w:t>用地</w:t>
      </w:r>
      <w:r>
        <w:rPr>
          <w:rFonts w:hint="eastAsia" w:ascii="微软雅黑" w:hAnsi="微软雅黑" w:eastAsia="微软雅黑" w:cs="微软雅黑"/>
          <w:b w:val="0"/>
          <w:bCs/>
          <w:color w:val="000000"/>
          <w:sz w:val="21"/>
          <w:szCs w:val="21"/>
          <w:highlight w:val="none"/>
        </w:rPr>
        <w:t>开发和运营业务</w:t>
      </w:r>
      <w:r>
        <w:rPr>
          <w:rFonts w:hint="eastAsia" w:ascii="微软雅黑" w:hAnsi="微软雅黑" w:eastAsia="微软雅黑" w:cs="微软雅黑"/>
          <w:b w:val="0"/>
          <w:bCs/>
          <w:color w:val="000000"/>
          <w:sz w:val="21"/>
          <w:szCs w:val="21"/>
          <w:highlight w:val="none"/>
        </w:rPr>
        <w:t>。</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highlight w:val="none"/>
        </w:rPr>
        <w:t>参与集中的其他经营者</w:t>
      </w:r>
      <w:r>
        <w:rPr>
          <w:rFonts w:hint="eastAsia" w:ascii="微软雅黑" w:hAnsi="微软雅黑" w:eastAsia="微软雅黑" w:cs="微软雅黑"/>
          <w:b w:val="0"/>
          <w:bCs/>
          <w:sz w:val="21"/>
          <w:szCs w:val="21"/>
          <w:highlight w:val="none"/>
        </w:rPr>
        <w:t>：金地商置。</w:t>
      </w:r>
      <w:r>
        <w:rPr>
          <w:rFonts w:hint="eastAsia" w:ascii="微软雅黑" w:hAnsi="微软雅黑" w:eastAsia="微软雅黑" w:cs="微软雅黑"/>
          <w:b w:val="0"/>
          <w:bCs/>
          <w:sz w:val="21"/>
          <w:szCs w:val="21"/>
          <w:highlight w:val="none"/>
        </w:rPr>
        <w:t>1989年于百慕大注册成立，主要从事各类房地产开发业务，最终控制人是金地（集团）股份有限公司。</w:t>
      </w:r>
      <w:r>
        <w:rPr>
          <w:rFonts w:hint="eastAsia" w:ascii="微软雅黑" w:hAnsi="微软雅黑" w:eastAsia="微软雅黑" w:cs="微软雅黑"/>
          <w:b w:val="0"/>
          <w:bCs/>
          <w:sz w:val="21"/>
          <w:szCs w:val="21"/>
          <w:highlight w:val="none"/>
        </w:rPr>
        <w:t>2016</w:t>
      </w:r>
      <w:r>
        <w:rPr>
          <w:rFonts w:hint="eastAsia" w:ascii="微软雅黑" w:hAnsi="微软雅黑" w:eastAsia="微软雅黑" w:cs="微软雅黑"/>
          <w:b w:val="0"/>
          <w:bCs/>
          <w:sz w:val="21"/>
          <w:szCs w:val="21"/>
          <w:highlight w:val="none"/>
        </w:rPr>
        <w:t>年</w:t>
      </w:r>
      <w:r>
        <w:rPr>
          <w:rFonts w:hint="eastAsia" w:ascii="微软雅黑" w:hAnsi="微软雅黑" w:eastAsia="微软雅黑" w:cs="微软雅黑"/>
          <w:b w:val="0"/>
          <w:bCs/>
          <w:sz w:val="21"/>
          <w:szCs w:val="21"/>
          <w:highlight w:val="none"/>
          <w:lang w:eastAsia="zh-CN"/>
        </w:rPr>
        <w:t>，</w:t>
      </w:r>
      <w:r>
        <w:rPr>
          <w:rFonts w:hint="eastAsia" w:ascii="微软雅黑" w:hAnsi="微软雅黑" w:eastAsia="微软雅黑" w:cs="微软雅黑"/>
          <w:b w:val="0"/>
          <w:bCs/>
          <w:sz w:val="21"/>
          <w:szCs w:val="21"/>
          <w:highlight w:val="none"/>
        </w:rPr>
        <w:t>金地商置</w:t>
      </w:r>
      <w:r>
        <w:rPr>
          <w:rFonts w:hint="eastAsia" w:ascii="微软雅黑" w:hAnsi="微软雅黑" w:eastAsia="微软雅黑" w:cs="微软雅黑"/>
          <w:b w:val="0"/>
          <w:bCs/>
          <w:sz w:val="21"/>
          <w:szCs w:val="21"/>
          <w:highlight w:val="none"/>
        </w:rPr>
        <w:t>全球</w:t>
      </w:r>
      <w:r>
        <w:rPr>
          <w:rFonts w:hint="eastAsia" w:ascii="微软雅黑" w:hAnsi="微软雅黑" w:eastAsia="微软雅黑" w:cs="微软雅黑"/>
          <w:b w:val="0"/>
          <w:bCs/>
          <w:sz w:val="21"/>
          <w:szCs w:val="21"/>
          <w:highlight w:val="none"/>
        </w:rPr>
        <w:t>和</w:t>
      </w:r>
      <w:r>
        <w:rPr>
          <w:rFonts w:hint="eastAsia" w:ascii="微软雅黑" w:hAnsi="微软雅黑" w:eastAsia="微软雅黑" w:cs="微软雅黑"/>
          <w:b w:val="0"/>
          <w:bCs/>
          <w:sz w:val="21"/>
          <w:szCs w:val="21"/>
          <w:highlight w:val="none"/>
        </w:rPr>
        <w:t>中国境内营业额</w:t>
      </w:r>
      <w:r>
        <w:rPr>
          <w:rFonts w:hint="eastAsia" w:ascii="微软雅黑" w:hAnsi="微软雅黑" w:eastAsia="微软雅黑" w:cs="微软雅黑"/>
          <w:b w:val="0"/>
          <w:bCs/>
          <w:sz w:val="21"/>
          <w:szCs w:val="21"/>
          <w:highlight w:val="none"/>
        </w:rPr>
        <w:t>均</w:t>
      </w:r>
      <w:r>
        <w:rPr>
          <w:rFonts w:hint="eastAsia" w:ascii="微软雅黑" w:hAnsi="微软雅黑" w:eastAsia="微软雅黑" w:cs="微软雅黑"/>
          <w:b w:val="0"/>
          <w:bCs/>
          <w:sz w:val="21"/>
          <w:szCs w:val="21"/>
          <w:highlight w:val="none"/>
        </w:rPr>
        <w:t>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 w:val="0"/>
          <w:bCs/>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Cs/>
          <w:kern w:val="2"/>
          <w:sz w:val="21"/>
          <w:szCs w:val="21"/>
          <w:lang w:val="en-US" w:eastAsia="zh-CN" w:bidi="ar-SA"/>
        </w:rPr>
        <w:t>本交易系</w:t>
      </w:r>
      <w:r>
        <w:rPr>
          <w:rFonts w:hint="eastAsia" w:ascii="微软雅黑" w:hAnsi="微软雅黑" w:eastAsia="微软雅黑" w:cs="微软雅黑"/>
          <w:bCs/>
          <w:kern w:val="2"/>
          <w:sz w:val="21"/>
          <w:szCs w:val="21"/>
          <w:lang w:val="en-US" w:eastAsia="zh-CN" w:bidi="ar-SA"/>
        </w:rPr>
        <w:t>股权收购</w:t>
      </w:r>
      <w:r>
        <w:rPr>
          <w:rFonts w:hint="eastAsia" w:ascii="微软雅黑" w:hAnsi="微软雅黑" w:eastAsia="微软雅黑" w:cs="微软雅黑"/>
          <w:bCs/>
          <w:kern w:val="2"/>
          <w:sz w:val="21"/>
          <w:szCs w:val="21"/>
          <w:lang w:val="en-US" w:eastAsia="zh-CN" w:bidi="ar-SA"/>
        </w:rPr>
        <w:t>。</w:t>
      </w:r>
      <w:r>
        <w:rPr>
          <w:rFonts w:hint="eastAsia" w:ascii="微软雅黑" w:hAnsi="微软雅黑" w:eastAsia="微软雅黑" w:cs="微软雅黑"/>
          <w:sz w:val="21"/>
          <w:szCs w:val="21"/>
          <w:lang w:eastAsia="zh-CN"/>
        </w:rPr>
        <w:t>2017年8月18日，阿波罗亚洲联合向广日申请发行并取得了广日45股普通股。交易后，阿波罗亚洲联合与金地商置分别持有广日45%和55%的股权，双方共同控制广日。2017年8月18日，交易完成股权变更登记。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kinsoku/>
        <w:wordWrap/>
        <w:topLinePunct w:val="0"/>
        <w:bidi w:val="0"/>
        <w:spacing w:line="594" w:lineRule="exact"/>
        <w:ind w:firstLine="408" w:firstLineChars="200"/>
        <w:jc w:val="both"/>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《反垄断法》第二十条规定“经营者集中是指下列情形：（一）经营者合并；（二）经营者通过取得股权或者资产的方式取得对其他经营者的控制权；（三）经营者通过合同等方式取得</w:t>
      </w:r>
      <w:r>
        <w:rPr>
          <w:rFonts w:hint="eastAsia" w:ascii="微软雅黑" w:hAnsi="微软雅黑" w:eastAsia="微软雅黑" w:cs="微软雅黑"/>
          <w:bCs/>
          <w:sz w:val="21"/>
          <w:szCs w:val="21"/>
          <w:lang w:val="en-US" w:eastAsia="zh-CN"/>
        </w:rPr>
        <w:t>对其他经营者的控制权或者能够对其他经营者施加决定性影响”。</w:t>
      </w:r>
      <w:r>
        <w:rPr>
          <w:rFonts w:hint="eastAsia" w:ascii="微软雅黑" w:hAnsi="微软雅黑" w:eastAsia="微软雅黑" w:cs="微软雅黑"/>
          <w:sz w:val="21"/>
          <w:szCs w:val="21"/>
          <w:highlight w:val="none"/>
        </w:rPr>
        <w:t>2017年8月18日</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rPr>
        <w:t>阿波罗亚洲联合取得广日45</w:t>
      </w:r>
      <w:r>
        <w:rPr>
          <w:rFonts w:hint="eastAsia" w:ascii="微软雅黑" w:hAnsi="微软雅黑" w:eastAsia="微软雅黑" w:cs="微软雅黑"/>
          <w:sz w:val="21"/>
          <w:szCs w:val="21"/>
          <w:highlight w:val="none"/>
        </w:rPr>
        <w:t>%股权，</w:t>
      </w:r>
      <w:r>
        <w:rPr>
          <w:rFonts w:hint="eastAsia" w:ascii="微软雅黑" w:hAnsi="微软雅黑" w:eastAsia="微软雅黑" w:cs="微软雅黑"/>
          <w:sz w:val="21"/>
          <w:szCs w:val="21"/>
          <w:highlight w:val="none"/>
        </w:rPr>
        <w:t>取得共同</w:t>
      </w:r>
      <w:r>
        <w:rPr>
          <w:rFonts w:hint="eastAsia" w:ascii="微软雅黑" w:hAnsi="微软雅黑" w:eastAsia="微软雅黑" w:cs="微软雅黑"/>
          <w:sz w:val="21"/>
          <w:szCs w:val="21"/>
          <w:highlight w:val="none"/>
        </w:rPr>
        <w:t>控制权，</w:t>
      </w:r>
      <w:r>
        <w:rPr>
          <w:rFonts w:hint="eastAsia" w:ascii="微软雅黑" w:hAnsi="微软雅黑" w:eastAsia="微软雅黑" w:cs="微软雅黑"/>
          <w:bCs/>
          <w:sz w:val="21"/>
          <w:szCs w:val="21"/>
          <w:highlight w:val="none"/>
        </w:rPr>
        <w:t>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408" w:firstLineChars="200"/>
        <w:jc w:val="both"/>
        <w:textAlignment w:val="auto"/>
        <w:rPr>
          <w:rFonts w:hint="eastAsia" w:ascii="微软雅黑" w:hAnsi="微软雅黑" w:eastAsia="微软雅黑" w:cs="微软雅黑"/>
          <w:bCs/>
          <w:kern w:val="2"/>
          <w:sz w:val="21"/>
          <w:szCs w:val="21"/>
          <w:u w:val="none"/>
          <w:lang w:val="en-US" w:eastAsia="zh-CN" w:bidi="ar-SA"/>
        </w:rPr>
      </w:pPr>
      <w:r>
        <w:rPr>
          <w:rFonts w:hint="eastAsia" w:ascii="微软雅黑" w:hAnsi="微软雅黑" w:eastAsia="微软雅黑" w:cs="微软雅黑"/>
          <w:bCs/>
          <w:kern w:val="2"/>
          <w:sz w:val="21"/>
          <w:szCs w:val="21"/>
          <w:u w:val="none"/>
          <w:lang w:val="en-US" w:eastAsia="zh-CN" w:bidi="ar-SA"/>
        </w:rPr>
        <w:t>2016年度，阿波罗亚洲联合全球营业额为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，中国境内营业额为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；金地商置全球和中国境内营业额均为</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略）</w:t>
      </w:r>
      <w:r>
        <w:rPr>
          <w:rFonts w:hint="eastAsia" w:ascii="微软雅黑" w:hAnsi="微软雅黑" w:eastAsia="微软雅黑" w:cs="微软雅黑"/>
          <w:bCs/>
          <w:kern w:val="2"/>
          <w:sz w:val="21"/>
          <w:szCs w:val="21"/>
          <w:u w:val="none"/>
          <w:lang w:val="en-US" w:eastAsia="zh-CN" w:bidi="ar-SA"/>
        </w:rPr>
        <w:t>，达到《国务院关于经营者集中申报标准的规定》第三条规定的申报标准，属于应当申报的情形。</w:t>
      </w:r>
    </w:p>
    <w:p>
      <w:pPr>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408" w:firstLineChars="200"/>
        <w:jc w:val="both"/>
        <w:textAlignment w:val="auto"/>
        <w:outlineLvl w:val="9"/>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《反垄断法》第二十一条规定“经营者集中达到国</w:t>
      </w:r>
      <w:r>
        <w:rPr>
          <w:rFonts w:hint="eastAsia" w:ascii="微软雅黑" w:hAnsi="微软雅黑" w:eastAsia="微软雅黑" w:cs="微软雅黑"/>
          <w:bCs/>
          <w:kern w:val="2"/>
          <w:sz w:val="21"/>
          <w:szCs w:val="21"/>
          <w:u w:val="none"/>
          <w:lang w:val="en-US" w:eastAsia="zh-CN" w:bidi="ar-SA"/>
        </w:rPr>
        <w:t>务院规定的申报标准的，经营者应当事先向国务院反垄断执法机构申报，未申报的不得实施集中”。2017年8月18日，本交易完成股权变更登记，在此之前未依法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本机关就阿波罗亚洲联合收购广日股权对市场竞争的影响进行了评估，评估认为，该项经营者集中不会产生排除、限制竞争的效果。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w:t>
      </w:r>
      <w:r>
        <w:rPr>
          <w:rFonts w:hint="eastAsia" w:ascii="微软雅黑" w:hAnsi="微软雅黑" w:eastAsia="微软雅黑" w:cs="微软雅黑"/>
          <w:bCs/>
          <w:color w:val="000000"/>
          <w:kern w:val="2"/>
          <w:sz w:val="21"/>
          <w:szCs w:val="21"/>
          <w:lang w:eastAsia="zh-CN"/>
        </w:rPr>
        <w:t>决定</w:t>
      </w:r>
      <w:r>
        <w:rPr>
          <w:rFonts w:hint="eastAsia" w:ascii="微软雅黑" w:hAnsi="微软雅黑" w:eastAsia="微软雅黑" w:cs="微软雅黑"/>
          <w:bCs/>
          <w:color w:val="000000"/>
          <w:kern w:val="2"/>
          <w:sz w:val="21"/>
          <w:szCs w:val="21"/>
          <w:lang w:eastAsia="zh-CN"/>
        </w:rPr>
        <w:t>给予阿波罗亚洲联合40万元罚款的行政处罚。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highlight w:val="yellow"/>
          <w:lang w:eastAsia="zh-CN"/>
        </w:rPr>
      </w:pPr>
      <w:r>
        <w:rPr>
          <w:rFonts w:hint="eastAsia" w:ascii="微软雅黑" w:hAnsi="微软雅黑" w:eastAsia="微软雅黑" w:cs="微软雅黑"/>
          <w:bCs/>
          <w:color w:val="000000"/>
          <w:kern w:val="2"/>
          <w:sz w:val="21"/>
          <w:szCs w:val="21"/>
          <w:lang w:eastAsia="zh-CN"/>
        </w:rPr>
        <w:t>当事人应当自收到本行政处罚决定书之日起十五日内，携缴款码到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15家中央财政非税收入收缴代理银行（工、农、中、建、交、中信、光大、招商、邮储、华夏、平安、兴业、民生、广发、浙商）任一银行网点、网上银行缴纳罚款。</w:t>
      </w:r>
      <w:r>
        <w:rPr>
          <w:rFonts w:hint="eastAsia" w:ascii="微软雅黑" w:hAnsi="微软雅黑" w:eastAsia="微软雅黑" w:cs="微软雅黑"/>
          <w:bCs/>
          <w:color w:val="000000"/>
          <w:kern w:val="2"/>
          <w:sz w:val="21"/>
          <w:szCs w:val="21"/>
          <w:lang w:eastAsia="zh-CN"/>
        </w:rPr>
        <w:t>缴款码：</w:t>
      </w:r>
      <w:r>
        <w:rPr>
          <w:rFonts w:hint="eastAsia" w:ascii="微软雅黑" w:hAnsi="微软雅黑" w:eastAsia="微软雅黑" w:cs="微软雅黑"/>
          <w:bCs/>
          <w:color w:val="000000"/>
          <w:kern w:val="2"/>
          <w:sz w:val="21"/>
          <w:szCs w:val="21"/>
          <w:lang w:val="en-US" w:eastAsia="zh-CN"/>
        </w:rPr>
        <w:t>0000002200221182。到期不缴纳罚款的，依据《行政处罚法》第七十二条的规定，本机关将每日按罚款数额的百分之三加处罚款,并依法申请人民法院强制执行。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94"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2</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3</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28</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94" w:lineRule="exact"/>
        <w:ind w:firstLine="408"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1"/>
        </w:rPr>
        <w:t>（此件公开发布）</w:t>
      </w:r>
    </w:p>
    <w:p>
      <w:pPr>
        <w:keepNext w:val="0"/>
        <w:keepLines w:val="0"/>
        <w:pageBreakBefore w:val="0"/>
        <w:widowControl w:val="0"/>
        <w:kinsoku/>
        <w:wordWrap/>
        <w:topLinePunct w:val="0"/>
        <w:bidi w:val="0"/>
        <w:spacing w:line="594" w:lineRule="exact"/>
        <w:textAlignment w:val="auto"/>
        <w:rPr>
          <w:rFonts w:hint="eastAsia" w:ascii="微软雅黑" w:hAnsi="微软雅黑" w:eastAsia="微软雅黑" w:cs="微软雅黑"/>
          <w:sz w:val="21"/>
          <w:szCs w:val="21"/>
        </w:rPr>
      </w:pPr>
    </w:p>
    <w:bookmarkEnd w:id="0"/>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6991"/>
    <w:rsid w:val="238405CE"/>
    <w:rsid w:val="251F784E"/>
    <w:rsid w:val="26962D62"/>
    <w:rsid w:val="27721479"/>
    <w:rsid w:val="331B0238"/>
    <w:rsid w:val="3D973AFE"/>
    <w:rsid w:val="477829E6"/>
    <w:rsid w:val="49337785"/>
    <w:rsid w:val="50F656A6"/>
    <w:rsid w:val="52820D71"/>
    <w:rsid w:val="552762F9"/>
    <w:rsid w:val="611E177A"/>
    <w:rsid w:val="6EC37903"/>
    <w:rsid w:val="76015E5A"/>
    <w:rsid w:val="77DD3C6B"/>
    <w:rsid w:val="7C3B02FB"/>
    <w:rsid w:val="7F3A7651"/>
    <w:rsid w:val="8DD72A0F"/>
    <w:rsid w:val="D4DE0E49"/>
    <w:rsid w:val="D7EB0B10"/>
    <w:rsid w:val="DFFFD625"/>
    <w:rsid w:val="F57D7242"/>
    <w:rsid w:val="FBFF8270"/>
    <w:rsid w:val="FDFD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xielin</dc:creator>
  <cp:lastModifiedBy>陈永仁</cp:lastModifiedBy>
  <cp:lastPrinted>2022-03-25T06:48:00Z</cp:lastPrinted>
  <dcterms:modified xsi:type="dcterms:W3CDTF">2022-04-14T07:16:35Z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7F5544C6B4E84EEEB4AB09DCD3B69147</vt:lpwstr>
  </property>
</Properties>
</file>