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auto"/>
          <w:spacing w:val="202"/>
          <w:kern w:val="0"/>
          <w:sz w:val="21"/>
          <w:szCs w:val="21"/>
          <w:fitText w:val="5742" w:id="434980390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auto"/>
          <w:spacing w:val="3"/>
          <w:kern w:val="0"/>
          <w:sz w:val="21"/>
          <w:szCs w:val="21"/>
          <w:fitText w:val="5742" w:id="43498039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auto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132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腾讯控股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有限公司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Tencent Holdings Limited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住 所：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开曼群岛哈金斯大道克里奇广场2681邮箱（Cricket Square Hutchins Drive P.O.Box 2681 Grand Cayman KYI-1111 Cayman Islands)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深圳市红杉煜辰股权投资合伙企业（有限合伙）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 xml:space="preserve">住 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所：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深圳市龙华区大浪街道浪口社区华霆路58号8栋6层601室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月12日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腾讯控股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有限公司</w:t>
      </w:r>
      <w:r>
        <w:rPr>
          <w:rFonts w:hint="eastAsia" w:ascii="微软雅黑" w:hAnsi="微软雅黑" w:eastAsia="微软雅黑" w:cs="微软雅黑"/>
          <w:sz w:val="21"/>
          <w:szCs w:val="21"/>
        </w:rPr>
        <w:t>（以下简称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深圳市红杉煜辰股权投资合伙企业（有限合伙）（以下简称红杉煜辰）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收购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广西叫酒网络科技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有限公司（以下简称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酒小二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）股权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涉嫌未依法申报违法实施经营者集中案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Autospacing="0" w:line="594" w:lineRule="exact"/>
        <w:ind w:left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腾讯、红杉煜辰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腾讯、红杉煜辰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书面来函放弃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的权利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收购方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腾讯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1999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11月于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年全球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人民币（币种下同）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收购方二：红杉煜辰。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2019年9月于广东省深圳市注册成立，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主要从事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医疗健康、消费品或服务行业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投资与管理业务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最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终控制人为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2019年全球和中国境内营业额均为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被收购方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酒小二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2017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1月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于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广西省南宁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市注册成立，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最终控制人为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主要从事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在线酒水零售业务</w:t>
      </w:r>
      <w:r>
        <w:rPr>
          <w:rFonts w:hint="eastAsia" w:ascii="微软雅黑" w:hAnsi="微软雅黑" w:eastAsia="微软雅黑" w:cs="微软雅黑"/>
          <w:sz w:val="21"/>
          <w:szCs w:val="21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1"/>
          <w:szCs w:val="21"/>
        </w:rPr>
        <w:t>年全球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均</w:t>
      </w:r>
      <w:r>
        <w:rPr>
          <w:rFonts w:hint="eastAsia" w:ascii="微软雅黑" w:hAnsi="微软雅黑" w:eastAsia="微软雅黑" w:cs="微软雅黑"/>
          <w:sz w:val="21"/>
          <w:szCs w:val="21"/>
        </w:rPr>
        <w:t>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1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交易系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股权收购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21"/>
          <w:szCs w:val="21"/>
        </w:rPr>
        <w:t>日，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腾讯（通过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广西腾讯创业投资有限公司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，以下简称广西腾讯）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、红杉煜辰与酒小二原股东签订《增资协议》、《股东协议》和《股权转让协议》。广西腾讯和红杉煜辰通过增资和收购股权方式，分别取得酒小二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10%和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6%股权，并取得共同控制权。此前，腾讯通过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深圳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市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创业创新发展有限公司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原持有酒小二的2.5%股权被稀释至2.175%。交易后，腾讯共持有酒小二12.175%股权，红杉煜辰持有6%股权。2020年11月30日，酒小二完成股权变更登记手续。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对其他经营者的控制权或者能够对其他经营者施加决定性影响”。</w:t>
      </w:r>
      <w:r>
        <w:rPr>
          <w:rFonts w:hint="eastAsia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21"/>
          <w:szCs w:val="21"/>
        </w:rPr>
        <w:t>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腾讯、红杉煜辰分别取得酒小二10%、6%股权。根据《股东协议》，腾讯和红杉煜辰对酒小二享有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共同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控制权，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属于《反垄断法》第二十条规定的经营者集中。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度，腾讯</w:t>
      </w:r>
      <w:r>
        <w:rPr>
          <w:rFonts w:hint="eastAsia" w:ascii="微软雅黑" w:hAnsi="微软雅黑" w:eastAsia="微软雅黑" w:cs="微软雅黑"/>
          <w:sz w:val="21"/>
          <w:szCs w:val="21"/>
        </w:rPr>
        <w:t>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红杉煜辰</w:t>
      </w:r>
      <w:r>
        <w:rPr>
          <w:rFonts w:hint="eastAsia" w:ascii="微软雅黑" w:hAnsi="微软雅黑" w:eastAsia="微软雅黑" w:cs="微软雅黑"/>
          <w:sz w:val="21"/>
          <w:szCs w:val="21"/>
        </w:rPr>
        <w:t>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均</w:t>
      </w:r>
      <w:r>
        <w:rPr>
          <w:rFonts w:hint="eastAsia" w:ascii="微软雅黑" w:hAnsi="微软雅黑" w:eastAsia="微软雅黑" w:cs="微软雅黑"/>
          <w:sz w:val="21"/>
          <w:szCs w:val="21"/>
        </w:rPr>
        <w:t>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2020年11月30日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酒小二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完成股权变更登记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  <w:t>在此之前未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/>
        </w:rPr>
        <w:t>依法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</w:rPr>
        <w:t>申报，违反《反垄断法》第二十一条，构成违法实施</w:t>
      </w:r>
      <w:r>
        <w:rPr>
          <w:rFonts w:hint="eastAsia" w:ascii="微软雅黑" w:hAnsi="微软雅黑" w:eastAsia="微软雅黑" w:cs="微软雅黑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本机关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就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腾讯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红杉煜辰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收购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酒小二</w:t>
      </w:r>
      <w:r>
        <w:rPr>
          <w:rFonts w:hint="eastAsia" w:ascii="微软雅黑" w:hAnsi="微软雅黑" w:eastAsia="微软雅黑" w:cs="微软雅黑"/>
          <w:sz w:val="21"/>
          <w:szCs w:val="21"/>
        </w:rPr>
        <w:t>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决定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val="en-US" w:eastAsia="zh-CN"/>
        </w:rPr>
        <w:t>分别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给予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腾讯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红杉煜辰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《行政处罚法》第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六十七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条规定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应当自收到本行政处罚决定书之日起十五日内，携缴款码到1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家中央财政非税收入收缴代理银行（工、农、中、建、交、中信、光大、招商、邮储、华夏、平安、兴业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、民生、广发、浙商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）任一银行网点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网上银行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纳罚款。缴款码：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23200C"/>
    <w:rsid w:val="04772CCF"/>
    <w:rsid w:val="05D15580"/>
    <w:rsid w:val="06C5506E"/>
    <w:rsid w:val="06DB7938"/>
    <w:rsid w:val="075F674C"/>
    <w:rsid w:val="09AC08F5"/>
    <w:rsid w:val="0F161606"/>
    <w:rsid w:val="0FA61C03"/>
    <w:rsid w:val="13F85EFD"/>
    <w:rsid w:val="16657401"/>
    <w:rsid w:val="169767E4"/>
    <w:rsid w:val="173B2FCB"/>
    <w:rsid w:val="18DB1E51"/>
    <w:rsid w:val="192053EE"/>
    <w:rsid w:val="1A156921"/>
    <w:rsid w:val="1B095395"/>
    <w:rsid w:val="1C11264C"/>
    <w:rsid w:val="1D3570B1"/>
    <w:rsid w:val="1EB86E2C"/>
    <w:rsid w:val="1ED67F29"/>
    <w:rsid w:val="1F573D93"/>
    <w:rsid w:val="21623065"/>
    <w:rsid w:val="21A54411"/>
    <w:rsid w:val="230C79BC"/>
    <w:rsid w:val="239A0124"/>
    <w:rsid w:val="265326DA"/>
    <w:rsid w:val="28C8606C"/>
    <w:rsid w:val="29171A1E"/>
    <w:rsid w:val="2A7A6DC6"/>
    <w:rsid w:val="2B0F6D0F"/>
    <w:rsid w:val="31E778A8"/>
    <w:rsid w:val="33684C36"/>
    <w:rsid w:val="33B94AAA"/>
    <w:rsid w:val="33E16394"/>
    <w:rsid w:val="38043EF0"/>
    <w:rsid w:val="39E75B24"/>
    <w:rsid w:val="3B252C68"/>
    <w:rsid w:val="3D086E74"/>
    <w:rsid w:val="3FAD2E94"/>
    <w:rsid w:val="4297136E"/>
    <w:rsid w:val="43B84B68"/>
    <w:rsid w:val="44F1186A"/>
    <w:rsid w:val="48A63464"/>
    <w:rsid w:val="49513DE5"/>
    <w:rsid w:val="49F75885"/>
    <w:rsid w:val="4ABC40B8"/>
    <w:rsid w:val="4EF957B9"/>
    <w:rsid w:val="4EFD73AF"/>
    <w:rsid w:val="505B6D86"/>
    <w:rsid w:val="51075873"/>
    <w:rsid w:val="52A77C54"/>
    <w:rsid w:val="554C2423"/>
    <w:rsid w:val="56EA563C"/>
    <w:rsid w:val="5A3853F1"/>
    <w:rsid w:val="5B1D24D8"/>
    <w:rsid w:val="5BDD2331"/>
    <w:rsid w:val="5C686AC3"/>
    <w:rsid w:val="5D4E6DD5"/>
    <w:rsid w:val="630535E1"/>
    <w:rsid w:val="63432760"/>
    <w:rsid w:val="640E6FE8"/>
    <w:rsid w:val="68197930"/>
    <w:rsid w:val="686D740E"/>
    <w:rsid w:val="6A564164"/>
    <w:rsid w:val="6CFD9769"/>
    <w:rsid w:val="6F712D0C"/>
    <w:rsid w:val="7073388E"/>
    <w:rsid w:val="74782380"/>
    <w:rsid w:val="74BA4D7D"/>
    <w:rsid w:val="799C3559"/>
    <w:rsid w:val="7A782B89"/>
    <w:rsid w:val="7CE345AA"/>
    <w:rsid w:val="7D641176"/>
    <w:rsid w:val="DFDB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2020-12-10T10:26:00Z</dcterms:created>
  <dc:creator>徐霄飞</dc:creator>
  <cp:lastModifiedBy>陈永仁</cp:lastModifiedBy>
  <cp:lastPrinted>2021-12-29T01:32:00Z</cp:lastPrinted>
  <dcterms:modified xsi:type="dcterms:W3CDTF">2022-01-05T12:32:46Z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11B3534E75A6441481D5F8F52D78C1DD</vt:lpwstr>
  </property>
</Properties>
</file>