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auto"/>
          <w:spacing w:val="202"/>
          <w:kern w:val="0"/>
          <w:sz w:val="21"/>
          <w:szCs w:val="21"/>
          <w:fitText w:val="5742" w:id="434980390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auto"/>
          <w:spacing w:val="3"/>
          <w:kern w:val="0"/>
          <w:sz w:val="21"/>
          <w:szCs w:val="21"/>
          <w:fitText w:val="5742" w:id="43498039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auto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131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青岛海信网络科技股份有限公司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住 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青岛市高科技工业园宁夏路308号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Tencent Holdings Limited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住 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开曼群岛哈金斯大道克里奇广场2681邮箱（Cricket Square Hutchins Drive P.O.Box 2681 Grand Cayman KYI-1111 Cayman Islands)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月12日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青岛海信网络科技股份有限公司（以下简称海信网科）与</w:t>
      </w:r>
      <w:r>
        <w:rPr>
          <w:rFonts w:hint="eastAsia" w:ascii="微软雅黑" w:hAnsi="微软雅黑" w:eastAsia="微软雅黑" w:cs="微软雅黑"/>
          <w:sz w:val="21"/>
          <w:szCs w:val="21"/>
        </w:rPr>
        <w:t>腾讯控股有限公司（以下简称腾讯）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设立合营企业数字青岛建设有限公司（以下简称数字青岛）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涉嫌未依法申报违法实施经营者集中案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Autospacing="0" w:line="594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海信网科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海信网科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书面来函放弃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的权利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（一）交易方。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合营方一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海信网科。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2000年12月于山东省青岛市注册成立，是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的子公司。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主要从事多媒体、家电、IT智能信息系统和现代服务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业务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2019年全球营业额为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人民币（币种下同）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合营方二：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腾讯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1999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11月于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年全球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交易系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新设合营企业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3月12日，海信网科与青岛启迪大数据有限责任公司（以下简称青岛启迪）、腾讯（通过深圳市腾讯投资产业创投有限公司）、青岛华通科技投资有限责任公司（以下简称华通科技）签署《合资协议书》，设立合营企业数字青岛，海信网科持股45%，青岛启迪持股28%，腾讯持股15%，华通科技持股12%。根据《公司章程》，腾讯与海信网科共同控制合营企业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青岛启迪与华通科技对合营企业无控制权。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1"/>
          <w:szCs w:val="21"/>
        </w:rPr>
        <w:t>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合营企业数字青岛注册成立。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left="0" w:leftChars="0"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海信网科、青岛启迪、腾讯、华通科技设立合营企业数字青岛，分别持股45%、28%、15%、12%，根据《公司章程》第15、16、17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21条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规定，海信网科与腾讯共同控制合营企业，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属于《反垄断法》第二十条规定的经营者集中。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left="0" w:leftChars="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度，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海信网科全球营业额为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2020年3月26日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合营企业注册成立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在此之前未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/>
        </w:rPr>
        <w:t>依法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8" w:firstLineChars="200"/>
        <w:textAlignment w:val="auto"/>
        <w:outlineLvl w:val="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海信网科与腾讯设立合营企业数字青岛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决定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val="en-US" w:eastAsia="zh-CN"/>
        </w:rPr>
        <w:t>分别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给予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海信网科、腾讯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各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条规定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应当自收到本行政处罚决定书之日起十五日内，携缴款码到1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家中央财政非税收入收缴代理银行（工、农、中、建、交、中信、光大、招商、邮储、华夏、平安、兴业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、民生、广发、浙商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）任一银行网点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网上银行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缴纳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罚款。缴款码：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02C4C8A"/>
    <w:rsid w:val="03F1276A"/>
    <w:rsid w:val="04772CCF"/>
    <w:rsid w:val="05D15580"/>
    <w:rsid w:val="06DB7938"/>
    <w:rsid w:val="075F674C"/>
    <w:rsid w:val="09AC08F5"/>
    <w:rsid w:val="13F85EFD"/>
    <w:rsid w:val="16657401"/>
    <w:rsid w:val="169767E4"/>
    <w:rsid w:val="173B2FCB"/>
    <w:rsid w:val="188527D3"/>
    <w:rsid w:val="18DB1E51"/>
    <w:rsid w:val="192053EE"/>
    <w:rsid w:val="1A156921"/>
    <w:rsid w:val="1B095395"/>
    <w:rsid w:val="1C11264C"/>
    <w:rsid w:val="1D3570B1"/>
    <w:rsid w:val="1DFD740B"/>
    <w:rsid w:val="1ED67F29"/>
    <w:rsid w:val="1F573D93"/>
    <w:rsid w:val="1F7E74DE"/>
    <w:rsid w:val="21623065"/>
    <w:rsid w:val="21A54411"/>
    <w:rsid w:val="230C79BC"/>
    <w:rsid w:val="239A0124"/>
    <w:rsid w:val="265326DA"/>
    <w:rsid w:val="28C8606C"/>
    <w:rsid w:val="29171A1E"/>
    <w:rsid w:val="2A7A6DC6"/>
    <w:rsid w:val="2B0F6D0F"/>
    <w:rsid w:val="31E778A8"/>
    <w:rsid w:val="33684C36"/>
    <w:rsid w:val="33B94AAA"/>
    <w:rsid w:val="33E16394"/>
    <w:rsid w:val="38043EF0"/>
    <w:rsid w:val="39E75B24"/>
    <w:rsid w:val="3B3F9828"/>
    <w:rsid w:val="3D086E74"/>
    <w:rsid w:val="3FAD2E94"/>
    <w:rsid w:val="4297136E"/>
    <w:rsid w:val="43B84B68"/>
    <w:rsid w:val="44F1186A"/>
    <w:rsid w:val="47626918"/>
    <w:rsid w:val="48A63464"/>
    <w:rsid w:val="49513DE5"/>
    <w:rsid w:val="49F75885"/>
    <w:rsid w:val="4ABC40B8"/>
    <w:rsid w:val="4EF957B9"/>
    <w:rsid w:val="4EFD73AF"/>
    <w:rsid w:val="50EF3ECE"/>
    <w:rsid w:val="51075873"/>
    <w:rsid w:val="52A77C54"/>
    <w:rsid w:val="56EA563C"/>
    <w:rsid w:val="5A3853F1"/>
    <w:rsid w:val="5B1D24D8"/>
    <w:rsid w:val="5BDD2331"/>
    <w:rsid w:val="5C686AC3"/>
    <w:rsid w:val="5D4E6DD5"/>
    <w:rsid w:val="630535E1"/>
    <w:rsid w:val="63432760"/>
    <w:rsid w:val="640E6FE8"/>
    <w:rsid w:val="68197930"/>
    <w:rsid w:val="686D740E"/>
    <w:rsid w:val="6A564164"/>
    <w:rsid w:val="6F712D0C"/>
    <w:rsid w:val="7073388E"/>
    <w:rsid w:val="74782380"/>
    <w:rsid w:val="76F7E7DB"/>
    <w:rsid w:val="77C33B16"/>
    <w:rsid w:val="799C3559"/>
    <w:rsid w:val="7A782B89"/>
    <w:rsid w:val="7B020869"/>
    <w:rsid w:val="7CE345AA"/>
    <w:rsid w:val="7D641176"/>
    <w:rsid w:val="F5FF139D"/>
    <w:rsid w:val="FFD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2020-12-10T18:26:00Z</dcterms:created>
  <dc:creator>徐霄飞</dc:creator>
  <cp:lastModifiedBy>陈永仁</cp:lastModifiedBy>
  <cp:lastPrinted>2021-07-02T22:21:00Z</cp:lastPrinted>
  <dcterms:modified xsi:type="dcterms:W3CDTF">2022-01-05T12:29:25Z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E43F0C2A35494578B893C3613F6FB453</vt:lpwstr>
  </property>
</Properties>
</file>