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/>
        <w:jc w:val="center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Cs/>
          <w:color w:val="000000"/>
          <w:spacing w:val="202"/>
          <w:kern w:val="0"/>
          <w:sz w:val="21"/>
          <w:szCs w:val="21"/>
          <w:fitText w:val="5742" w:id="-19441323"/>
        </w:rPr>
        <w:t>国家市场监督管理总</w:t>
      </w:r>
      <w:r>
        <w:rPr>
          <w:rFonts w:hint="eastAsia" w:ascii="微软雅黑" w:hAnsi="微软雅黑" w:eastAsia="微软雅黑" w:cs="微软雅黑"/>
          <w:bCs/>
          <w:color w:val="000000"/>
          <w:spacing w:val="3"/>
          <w:kern w:val="0"/>
          <w:sz w:val="21"/>
          <w:szCs w:val="21"/>
          <w:fitText w:val="5742" w:id="-19441323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pacing w:val="356"/>
          <w:kern w:val="0"/>
          <w:sz w:val="21"/>
          <w:szCs w:val="21"/>
          <w:fitText w:val="5742" w:id="1"/>
        </w:rPr>
        <w:t>行政处罚决定</w:t>
      </w:r>
      <w:r>
        <w:rPr>
          <w:rFonts w:hint="eastAsia" w:ascii="微软雅黑" w:hAnsi="微软雅黑" w:eastAsia="微软雅黑" w:cs="微软雅黑"/>
          <w:bCs/>
          <w:color w:val="000000"/>
          <w:spacing w:val="0"/>
          <w:kern w:val="0"/>
          <w:sz w:val="21"/>
          <w:szCs w:val="21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ind w:left="0" w:leftChars="0"/>
        <w:jc w:val="center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国市监处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罚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〔202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〕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128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ind w:left="0" w:leftChars="0"/>
        <w:jc w:val="center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当事人：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腾讯控股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有限公司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Tencent Holdings Limited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left="0" w:leftChars="0"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住 所：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开曼群岛哈金斯大道克里奇广场2681邮箱（Cricket Square Hutchins Drive P.O.Box 2681 Grand Cayman KYI-1111 Cayman Islands)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left="0" w:leftChars="0"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firstLine="408" w:firstLineChars="20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根据《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反垄断法》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（以下简称《反垄断法》）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《经营者集中审查暂行规定》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，本机关于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2021年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月12日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对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腾讯控股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有限公司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（以下简称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腾讯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收购VERSA Inc.（以下简称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马卡龙玩图</w:t>
      </w:r>
      <w:r>
        <w:rPr>
          <w:rFonts w:hint="eastAsia" w:ascii="微软雅黑" w:hAnsi="微软雅黑" w:eastAsia="微软雅黑" w:cs="微软雅黑"/>
          <w:sz w:val="21"/>
          <w:szCs w:val="21"/>
        </w:rPr>
        <w:t>）股权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涉嫌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未依法申报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违法实施经营者集中案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进行立案调查。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firstLine="408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经查，该案构成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违法实施经营者集中，但不具有排除、限制竞争的效果。本机关按照《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行政处罚法》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（以下简称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《行政处罚法》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的规定，向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腾讯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送达了《行政处罚告知书》，告知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拟作出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行政处罚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内容及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事实、理由、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依据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并告知当事人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依法享有的陈述、申辩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要求听证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权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利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腾讯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书面来函放弃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陈述、申辩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要求听证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的权利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。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firstLine="408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left="0" w:leftChars="0"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  <w:t>（一）交易方。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 w:firstLine="408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lang w:val="en-US" w:eastAsia="zh-CN" w:bidi="ar-SA"/>
        </w:rPr>
        <w:t>收购</w:t>
      </w:r>
      <w:r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lang w:val="en-US" w:eastAsia="zh-CN" w:bidi="ar-SA"/>
        </w:rPr>
        <w:t>方：</w:t>
      </w:r>
      <w:r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lang w:val="en-US" w:eastAsia="zh-CN" w:bidi="ar-SA"/>
        </w:rPr>
        <w:t>腾讯</w:t>
      </w:r>
      <w:r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1999年11月在英属维尔京群岛注册成立，2004年2月迁册至英属开曼群岛，2004年6月在香港联交所上市，通过协议控制境内运营实体深圳市腾讯计算机系统有限公司，主要业务为社交和通信服务、社交网络平台、游戏、网络视频服务、互动娱乐直播等基于互联网的增值业务，腾讯2017年全球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营业额为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略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中国境内营业额为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ind w:left="0" w:leftChars="0"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  <w:t>目标公司</w:t>
      </w: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  <w:t>马卡龙玩图</w:t>
      </w: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2017年于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英属开曼群岛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注册成立，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原最终控制人为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略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主要从事</w:t>
      </w:r>
      <w:r>
        <w:rPr>
          <w:rFonts w:hint="eastAsia" w:ascii="微软雅黑" w:hAnsi="微软雅黑" w:eastAsia="微软雅黑" w:cs="微软雅黑"/>
          <w:sz w:val="21"/>
          <w:szCs w:val="21"/>
        </w:rPr>
        <w:t>手机端图片剪辑软件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的经营活动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201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年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全球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营业额为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略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中国境内营业额为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ind w:left="0" w:leftChars="0" w:firstLine="408" w:firstLineChars="20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参与集中的其他经营者</w:t>
      </w: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一</w:t>
      </w: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马卡龙玩图</w:t>
      </w: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创始人蔡天懿和赵维杰</w:t>
      </w: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201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年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全球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营业额为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略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中国境内营业额为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left="0" w:leftChars="0" w:firstLine="408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参与集中的其他经营者</w:t>
      </w: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二</w:t>
      </w: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Zhen Partners Fund V, L.P.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（以下简称真格基金）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2015年于开曼群岛创立，最终控制人为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主要从事投资管理业务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，2017年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全球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营业额为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略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中国境内营业额为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left="0" w:leftChars="0" w:firstLine="408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参与集中的其他经营者</w:t>
      </w: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三</w:t>
      </w: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SCC Venture VI Holdco, Ltd.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以下简称红杉中国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），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2015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年于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北京创立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，最终控制人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为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，主要从事投资和资产管理业务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201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年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全球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营业额为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略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中国境内营业额为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left="0" w:leftChars="0"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  <w:t>（二）交易概况。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ind w:left="0" w:leftChars="0" w:firstLine="396" w:firstLineChars="194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本交易系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股权收购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018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年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21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日，腾讯通过其控股子公司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Image Frame Investment (HK) Limited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.与马卡龙玩图等签署《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A系列优先股股权购买协议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》，获得马卡龙玩图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15.5%的股权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。本次交易前，腾讯不持有马卡龙玩图的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股份，交易完成后，腾讯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合计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持有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马卡龙玩图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15.5%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已发行股份，与原股东蔡天懿、赵维杰，以及真格基金、红杉中国共同控制目标公司。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left="0" w:leftChars="0"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left="0" w:leftChars="0"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  <w:t>（一）本案构成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  <w:t>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对其他经营者的控制权或者能够对其他经营者施加决定性影响”。该交易系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股权收购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腾讯收购马卡龙玩图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15.5%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股权</w:t>
      </w:r>
      <w:r>
        <w:rPr>
          <w:rFonts w:hint="eastAsia" w:ascii="微软雅黑" w:hAnsi="微软雅黑" w:eastAsia="微软雅黑" w:cs="微软雅黑"/>
          <w:sz w:val="21"/>
          <w:szCs w:val="21"/>
        </w:rPr>
        <w:t>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取得共同控制权</w:t>
      </w:r>
      <w:r>
        <w:rPr>
          <w:rFonts w:hint="eastAsia" w:ascii="微软雅黑" w:hAnsi="微软雅黑" w:eastAsia="微软雅黑" w:cs="微软雅黑"/>
          <w:sz w:val="21"/>
          <w:szCs w:val="21"/>
        </w:rPr>
        <w:t>，属于《反垄断法》第二十条规定的经营者集中。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408" w:firstLineChars="200"/>
        <w:contextualSpacing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201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年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度，腾讯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全球营业额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为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，中国境内营业额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为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真格基金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全球营业额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为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，中国境内营业额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为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（略）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；红杉中国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全球营业额为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，中国境内营业额为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达到《国务院关于经营者集中申报标准的规定》第三条规定的申报标准，属于应当申报的情形。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640"/>
        <w:contextualSpacing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《反垄断法》第二十一条规定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“经</w:t>
      </w:r>
      <w:r>
        <w:rPr>
          <w:rFonts w:hint="eastAsia" w:ascii="微软雅黑" w:hAnsi="微软雅黑" w:eastAsia="微软雅黑" w:cs="微软雅黑"/>
          <w:sz w:val="21"/>
          <w:szCs w:val="21"/>
        </w:rPr>
        <w:t>营者集中达到国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eastAsia" w:ascii="微软雅黑" w:hAnsi="微软雅黑" w:eastAsia="微软雅黑" w:cs="微软雅黑"/>
          <w:sz w:val="21"/>
          <w:szCs w:val="21"/>
        </w:rPr>
        <w:t>20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1日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交易完成</w:t>
      </w:r>
      <w:r>
        <w:rPr>
          <w:rFonts w:hint="eastAsia" w:ascii="微软雅黑" w:hAnsi="微软雅黑" w:eastAsia="微软雅黑" w:cs="微软雅黑"/>
          <w:sz w:val="21"/>
          <w:szCs w:val="21"/>
        </w:rPr>
        <w:t>交割，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腾讯</w:t>
      </w:r>
      <w:r>
        <w:rPr>
          <w:rFonts w:hint="eastAsia" w:ascii="微软雅黑" w:hAnsi="微软雅黑" w:eastAsia="微软雅黑" w:cs="微软雅黑"/>
          <w:sz w:val="21"/>
          <w:szCs w:val="21"/>
        </w:rPr>
        <w:t>取得对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马卡龙玩图</w:t>
      </w:r>
      <w:r>
        <w:rPr>
          <w:rFonts w:hint="eastAsia" w:ascii="微软雅黑" w:hAnsi="微软雅黑" w:eastAsia="微软雅黑" w:cs="微软雅黑"/>
          <w:sz w:val="21"/>
          <w:szCs w:val="21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共同</w:t>
      </w:r>
      <w:r>
        <w:rPr>
          <w:rFonts w:hint="eastAsia" w:ascii="微软雅黑" w:hAnsi="微软雅黑" w:eastAsia="微软雅黑" w:cs="微软雅黑"/>
          <w:sz w:val="21"/>
          <w:szCs w:val="21"/>
        </w:rPr>
        <w:t>控制权。</w:t>
      </w:r>
      <w:r>
        <w:rPr>
          <w:rFonts w:hint="eastAsia" w:ascii="微软雅黑" w:hAnsi="微软雅黑" w:eastAsia="微软雅黑" w:cs="微软雅黑"/>
          <w:sz w:val="21"/>
          <w:szCs w:val="21"/>
        </w:rPr>
        <w:t>在此之前未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依法</w:t>
      </w:r>
      <w:r>
        <w:rPr>
          <w:rFonts w:hint="eastAsia" w:ascii="微软雅黑" w:hAnsi="微软雅黑" w:eastAsia="微软雅黑" w:cs="微软雅黑"/>
          <w:sz w:val="21"/>
          <w:szCs w:val="21"/>
        </w:rPr>
        <w:t>申报，违反《反垄断法》第</w:t>
      </w:r>
      <w:r>
        <w:rPr>
          <w:rFonts w:hint="eastAsia" w:ascii="微软雅黑" w:hAnsi="微软雅黑" w:eastAsia="微软雅黑" w:cs="微软雅黑"/>
          <w:sz w:val="21"/>
          <w:szCs w:val="21"/>
        </w:rPr>
        <w:t>二十一</w:t>
      </w:r>
      <w:r>
        <w:rPr>
          <w:rFonts w:hint="eastAsia" w:ascii="微软雅黑" w:hAnsi="微软雅黑" w:eastAsia="微软雅黑" w:cs="微软雅黑"/>
          <w:sz w:val="21"/>
          <w:szCs w:val="21"/>
        </w:rPr>
        <w:t>条，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构成违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法实施</w:t>
      </w:r>
      <w:r>
        <w:rPr>
          <w:rFonts w:hint="eastAsia" w:ascii="微软雅黑" w:hAnsi="微软雅黑" w:eastAsia="微软雅黑" w:cs="微软雅黑"/>
          <w:sz w:val="21"/>
          <w:szCs w:val="21"/>
        </w:rPr>
        <w:t>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left="0" w:leftChars="0"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408" w:firstLineChars="200"/>
        <w:textAlignment w:val="auto"/>
        <w:outlineLvl w:val="0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本机关就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腾讯收购马卡龙玩图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股权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left="0" w:leftChars="0"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400" w:firstLineChars="196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《反垄断法》第四十八条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《反垄断法》第四十九条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left="0" w:leftChars="0"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根据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上述规定，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基于调查情况和评估结论，本机关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决定给予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腾讯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0万元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罚款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400" w:firstLineChars="196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《行政处罚法》第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六十七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条规定“作出罚款决定的行政机关应当与收缴罚款的机构分离。除依照本法第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六十八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条、第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六十九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条的规定当场收缴的罚款外，作出行政处罚决定的行政机关及其执法人员不得自行收缴罚款。当事人应当自收到行政处罚决定书之日起十五日内，到指定的银行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或者通过电子支付系统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left="0" w:leftChars="0"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当事人应当自收到本行政处罚决定书之日起十五日内，携缴款码到1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家中央财政非税收入收缴代理银行（工、农、中、建、交、中信、光大、招商、邮储、华夏、平安、兴业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、民生、广发、浙商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）任一银行网点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网上银行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val="en-US" w:eastAsia="zh-CN"/>
        </w:rPr>
        <w:t>缴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纳罚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款。缴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款码：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left="0" w:leftChars="0"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当事人如对上述行政处罚决定不服，可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 xml:space="preserve">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left="0" w:leftChars="0" w:firstLine="3530" w:firstLineChars="173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left="0" w:leftChars="0" w:firstLine="3395" w:firstLineChars="1664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（此件公开发布）</w:t>
      </w:r>
    </w:p>
    <w:bookmarkEnd w:id="0"/>
    <w:sectPr>
      <w:footerReference r:id="rId3" w:type="default"/>
      <w:footerReference r:id="rId4" w:type="even"/>
      <w:pgSz w:w="11906" w:h="16838"/>
      <w:pgMar w:top="1440" w:right="1803" w:bottom="1440" w:left="1803" w:header="851" w:footer="1814" w:gutter="0"/>
      <w:cols w:space="0" w:num="1"/>
      <w:rtlGutter w:val="0"/>
      <w:docGrid w:type="linesAndChars" w:linePitch="290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14D1D19"/>
    <w:rsid w:val="01A21C5E"/>
    <w:rsid w:val="03A4696C"/>
    <w:rsid w:val="05D15580"/>
    <w:rsid w:val="075F674C"/>
    <w:rsid w:val="09AC08F5"/>
    <w:rsid w:val="12732934"/>
    <w:rsid w:val="13F85EFD"/>
    <w:rsid w:val="16657401"/>
    <w:rsid w:val="169767E4"/>
    <w:rsid w:val="173B2FCB"/>
    <w:rsid w:val="18CA6368"/>
    <w:rsid w:val="18DB1E51"/>
    <w:rsid w:val="192053EE"/>
    <w:rsid w:val="1A156921"/>
    <w:rsid w:val="1AA53E4E"/>
    <w:rsid w:val="1B095395"/>
    <w:rsid w:val="1C11264C"/>
    <w:rsid w:val="1D3570B1"/>
    <w:rsid w:val="1ED67F29"/>
    <w:rsid w:val="1F573D93"/>
    <w:rsid w:val="213F440E"/>
    <w:rsid w:val="21623065"/>
    <w:rsid w:val="21A54411"/>
    <w:rsid w:val="239A0124"/>
    <w:rsid w:val="265326DA"/>
    <w:rsid w:val="28C8606C"/>
    <w:rsid w:val="29171A1E"/>
    <w:rsid w:val="2A7A6DC6"/>
    <w:rsid w:val="2B0F6D0F"/>
    <w:rsid w:val="312E14CA"/>
    <w:rsid w:val="31E778A8"/>
    <w:rsid w:val="32B536B7"/>
    <w:rsid w:val="33B94AAA"/>
    <w:rsid w:val="33E16394"/>
    <w:rsid w:val="38043EF0"/>
    <w:rsid w:val="39E75B24"/>
    <w:rsid w:val="3D086E74"/>
    <w:rsid w:val="3FAD2E94"/>
    <w:rsid w:val="40ED54D1"/>
    <w:rsid w:val="42160903"/>
    <w:rsid w:val="4297136E"/>
    <w:rsid w:val="44F1186A"/>
    <w:rsid w:val="45546673"/>
    <w:rsid w:val="48A63464"/>
    <w:rsid w:val="49513DE5"/>
    <w:rsid w:val="49F75885"/>
    <w:rsid w:val="4ABC40B8"/>
    <w:rsid w:val="4B100830"/>
    <w:rsid w:val="4D97043A"/>
    <w:rsid w:val="4EF957B9"/>
    <w:rsid w:val="4EFD73AF"/>
    <w:rsid w:val="4F0F6D1C"/>
    <w:rsid w:val="51075873"/>
    <w:rsid w:val="52A77C54"/>
    <w:rsid w:val="594006AF"/>
    <w:rsid w:val="59D93744"/>
    <w:rsid w:val="5A3853F1"/>
    <w:rsid w:val="5B196388"/>
    <w:rsid w:val="5BDD2331"/>
    <w:rsid w:val="5C686AC3"/>
    <w:rsid w:val="5D4E6DD5"/>
    <w:rsid w:val="5F1B457C"/>
    <w:rsid w:val="61345419"/>
    <w:rsid w:val="630535E1"/>
    <w:rsid w:val="63432760"/>
    <w:rsid w:val="640E6FE8"/>
    <w:rsid w:val="65BA08CA"/>
    <w:rsid w:val="68197930"/>
    <w:rsid w:val="686D740E"/>
    <w:rsid w:val="68865858"/>
    <w:rsid w:val="69D93D43"/>
    <w:rsid w:val="6A564164"/>
    <w:rsid w:val="6B452011"/>
    <w:rsid w:val="6C262B74"/>
    <w:rsid w:val="6F712D0C"/>
    <w:rsid w:val="7073388E"/>
    <w:rsid w:val="774A1B2B"/>
    <w:rsid w:val="77611C2D"/>
    <w:rsid w:val="78790AA0"/>
    <w:rsid w:val="799C3559"/>
    <w:rsid w:val="7A782B89"/>
    <w:rsid w:val="7D5B5D57"/>
    <w:rsid w:val="7D641176"/>
    <w:rsid w:val="7DEC49A5"/>
    <w:rsid w:val="D7CE7FCF"/>
    <w:rsid w:val="EE6F6FEC"/>
    <w:rsid w:val="FBB70B9B"/>
    <w:rsid w:val="FCFFA3F3"/>
    <w:rsid w:val="FEEA2E37"/>
    <w:rsid w:val="FE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2020-12-11T02:26:00Z</dcterms:created>
  <dc:creator>徐霄飞</dc:creator>
  <cp:lastModifiedBy>陈永仁</cp:lastModifiedBy>
  <cp:lastPrinted>2021-07-03T06:21:00Z</cp:lastPrinted>
  <dcterms:modified xsi:type="dcterms:W3CDTF">2022-01-05T12:17:46Z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A674BD4174AB4E7499F31545748660DD</vt:lpwstr>
  </property>
</Properties>
</file>