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80" w:lineRule="exact"/>
        <w:jc w:val="center"/>
        <w:textAlignment w:val="auto"/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</w:rPr>
      </w:pPr>
      <w:bookmarkStart w:id="0" w:name="_GoBack"/>
      <w:r>
        <w:rPr>
          <w:rFonts w:hint="eastAsia" w:ascii="微软雅黑" w:hAnsi="微软雅黑" w:eastAsia="微软雅黑" w:cs="微软雅黑"/>
          <w:bCs/>
          <w:color w:val="auto"/>
          <w:spacing w:val="202"/>
          <w:kern w:val="0"/>
          <w:sz w:val="21"/>
          <w:szCs w:val="21"/>
          <w:fitText w:val="5742" w:id="1608217352"/>
        </w:rPr>
        <w:t>国家市场监督管理总</w:t>
      </w:r>
      <w:r>
        <w:rPr>
          <w:rFonts w:hint="eastAsia" w:ascii="微软雅黑" w:hAnsi="微软雅黑" w:eastAsia="微软雅黑" w:cs="微软雅黑"/>
          <w:bCs/>
          <w:color w:val="auto"/>
          <w:spacing w:val="3"/>
          <w:kern w:val="0"/>
          <w:sz w:val="21"/>
          <w:szCs w:val="21"/>
          <w:fitText w:val="5742" w:id="1608217352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80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bCs/>
          <w:color w:val="auto"/>
          <w:spacing w:val="356"/>
          <w:kern w:val="0"/>
          <w:sz w:val="21"/>
          <w:szCs w:val="21"/>
          <w:fitText w:val="5742" w:id="1"/>
        </w:rPr>
        <w:t>行政处罚决定</w:t>
      </w:r>
      <w:r>
        <w:rPr>
          <w:rFonts w:hint="eastAsia" w:ascii="微软雅黑" w:hAnsi="微软雅黑" w:eastAsia="微软雅黑" w:cs="微软雅黑"/>
          <w:bCs/>
          <w:color w:val="auto"/>
          <w:spacing w:val="0"/>
          <w:kern w:val="0"/>
          <w:sz w:val="21"/>
          <w:szCs w:val="21"/>
          <w:fitText w:val="5742" w:id="1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580" w:lineRule="exact"/>
        <w:jc w:val="center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国市监处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/>
        </w:rPr>
        <w:t>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〔202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〕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/>
        </w:rPr>
        <w:t>122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580" w:lineRule="exact"/>
        <w:jc w:val="center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408" w:firstLineChars="200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当事人：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-SA"/>
        </w:rPr>
        <w:t>宁波誉衡健康投资有限公司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408" w:firstLineChars="200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住  所：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-SA"/>
        </w:rPr>
        <w:t>浙江省宁波市北仑区梅山七星路88号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408" w:firstLineChars="200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当事人：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-SA"/>
        </w:rPr>
        <w:t>江苏京东邦能投资管理有限公司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after="0" w:line="580" w:lineRule="exact"/>
        <w:ind w:firstLine="408" w:firstLineChars="200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住  所：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-SA"/>
        </w:rPr>
        <w:t>江苏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-SA"/>
        </w:rPr>
        <w:t>省宿迁市宿豫区洪泽湖东路19号恒通大厦4层416室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after="0" w:line="580" w:lineRule="exact"/>
        <w:ind w:firstLine="408" w:firstLineChars="200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408" w:firstLineChars="200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根据《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中华人民共和国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反垄断法》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eastAsia="zh-CN"/>
        </w:rPr>
        <w:t>（以下简称《反垄断法》）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《经营者集中审查暂行规定》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，本机关于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2021年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月12日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对宁波誉衡健康投资有限公司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（以下简称宁波誉衡）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与江苏京东邦能投资管理有限公司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（以下简称京东邦能）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设立合营企业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涉嫌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未依法申报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违法实施经营者集中案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进行立案调查。</w:t>
      </w:r>
    </w:p>
    <w:p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 w:val="0"/>
        <w:topLinePunct w:val="0"/>
        <w:bidi w:val="0"/>
        <w:adjustRightInd w:val="0"/>
        <w:snapToGrid/>
        <w:spacing w:before="0" w:beforeAutospacing="0" w:afterAutospacing="0" w:line="580" w:lineRule="exact"/>
        <w:ind w:left="0" w:right="0" w:firstLine="408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经查，该案构成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未依法申报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违法实施经营者集中，但不具有排除、限制竞争的效果。本机关按照《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中华人民共和国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行政处罚法》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eastAsia="zh-CN"/>
        </w:rPr>
        <w:t>（以下简称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《行政处罚法》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eastAsia="zh-CN"/>
        </w:rPr>
        <w:t>）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的规定，向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宁波誉衡、京东邦能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送达了《行政处罚告知书》，告知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当事人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拟作出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的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行政处罚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内容及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事实、理由、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依据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并告知当事人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依法享有的陈述、申辩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要求听证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的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权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利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。宁波誉衡、京东邦能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"/>
        </w:rPr>
        <w:t>书面来函放弃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"/>
        </w:rPr>
        <w:t>陈述、申辩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"/>
        </w:rPr>
        <w:t>和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"/>
        </w:rPr>
        <w:t>要求听证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"/>
        </w:rPr>
        <w:t>的权利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 w:bidi="ar"/>
        </w:rPr>
        <w:t>。本案现已调查、审理终结。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408" w:firstLineChars="200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一、基本情况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1"/>
          <w:szCs w:val="21"/>
        </w:rPr>
        <w:t>（一）交易方。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1"/>
          <w:szCs w:val="21"/>
          <w:lang w:eastAsia="zh-CN"/>
        </w:rPr>
        <w:t>合营方一：宁波誉衡。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eastAsia="zh-CN"/>
        </w:rPr>
        <w:t>201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eastAsia="zh-CN"/>
        </w:rPr>
        <w:t>年于浙江省宁波市注册成立，最终控制人为哈尔滨誉衡药业股份有限公司（以下简称誉衡药业），主要从事心脑血管系统类疾病药物、骨骼肌肉系统类疾病药物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t>等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eastAsia="zh-CN"/>
        </w:rPr>
        <w:t>生产和销售，201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eastAsia="zh-CN"/>
        </w:rPr>
        <w:t>年全球和中国境内营业额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t>均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eastAsia="zh-CN"/>
        </w:rPr>
        <w:t>为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eastAsia="zh-CN"/>
        </w:rPr>
        <w:t>（略）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580" w:lineRule="exact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1"/>
          <w:szCs w:val="21"/>
          <w:lang w:val="en-US" w:eastAsia="zh-CN"/>
        </w:rPr>
        <w:t>合营方</w:t>
      </w:r>
      <w:r>
        <w:rPr>
          <w:rFonts w:hint="eastAsia" w:ascii="微软雅黑" w:hAnsi="微软雅黑" w:eastAsia="微软雅黑" w:cs="微软雅黑"/>
          <w:b/>
          <w:bCs/>
          <w:color w:val="auto"/>
          <w:sz w:val="21"/>
          <w:szCs w:val="21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b/>
          <w:bCs/>
          <w:color w:val="auto"/>
          <w:sz w:val="21"/>
          <w:szCs w:val="21"/>
          <w:lang w:val="en-US" w:eastAsia="zh-CN"/>
        </w:rPr>
        <w:t>：京东邦能。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t>2015年于江苏省宿迁市注册成立，最终控制人为京东集团股份有限公司，在零售、物流、健康等领域从事业务，2015年全球和中国境内营业额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t>均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eastAsia="zh-CN"/>
        </w:rPr>
        <w:t>（略）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1"/>
          <w:szCs w:val="21"/>
        </w:rPr>
        <w:t>（二）交易概况。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topLinePunct w:val="0"/>
        <w:bidi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b/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lang w:val="en-US" w:eastAsia="zh-CN" w:bidi="ar-SA"/>
        </w:rPr>
        <w:t>本交易系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lang w:val="en-US" w:eastAsia="zh-CN" w:bidi="ar-SA"/>
        </w:rPr>
        <w:t>设立合营企业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lang w:val="en-US" w:eastAsia="zh-CN" w:bidi="ar-SA"/>
        </w:rPr>
        <w:t>。</w:t>
      </w:r>
      <w:r>
        <w:rPr>
          <w:rFonts w:hint="eastAsia" w:ascii="微软雅黑" w:hAnsi="微软雅黑" w:eastAsia="微软雅黑" w:cs="微软雅黑"/>
          <w:b w:val="0"/>
          <w:bCs/>
          <w:color w:val="auto"/>
          <w:sz w:val="21"/>
          <w:szCs w:val="21"/>
        </w:rPr>
        <w:t>2016年4月8日，宁波誉衡与京东邦能签署协议，在浙江省宁波市设立合营企业宁波誉东健康科技有限公司，宁波誉衡与京东邦能分别持股70%和30%。2016年5月23日，合营企业取得营业执照</w:t>
      </w:r>
      <w:r>
        <w:rPr>
          <w:rFonts w:hint="eastAsia" w:ascii="微软雅黑" w:hAnsi="微软雅黑" w:eastAsia="微软雅黑" w:cs="微软雅黑"/>
          <w:b/>
          <w:color w:val="auto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二、违法事实及理由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1"/>
          <w:szCs w:val="21"/>
        </w:rPr>
        <w:t>（一）本案构成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1"/>
          <w:szCs w:val="21"/>
          <w:lang w:eastAsia="zh-CN"/>
        </w:rPr>
        <w:t>未依法申报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1"/>
          <w:szCs w:val="21"/>
        </w:rPr>
        <w:t>违法实施的经营者集中。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80" w:lineRule="exact"/>
        <w:ind w:firstLine="408" w:firstLineChars="200"/>
        <w:jc w:val="both"/>
        <w:textAlignment w:val="auto"/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</w:rPr>
        <w:t>《反垄断法》第二十条规定“经营者集中是指下列情形：（一）经营者合并；（二）经营者通过取得股权或者资产的方式取得对其他经营者的控制权；（三）经营者通过合同等方式取得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val="en-US" w:eastAsia="zh-CN"/>
        </w:rPr>
        <w:t>对其他经营者的控制权或者能够对其他经营者施加决定性影响”。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eastAsia="zh-CN"/>
        </w:rPr>
        <w:t>宁波誉衡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</w:rPr>
        <w:t>与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eastAsia="zh-CN"/>
        </w:rPr>
        <w:t>京东邦能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</w:rPr>
        <w:t>设立合营企业，分别持股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val="en-US" w:eastAsia="zh-CN"/>
        </w:rPr>
        <w:t>70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</w:rPr>
        <w:t>%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eastAsia="zh-CN"/>
        </w:rPr>
        <w:t>和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val="en-US" w:eastAsia="zh-CN"/>
        </w:rPr>
        <w:t>30%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eastAsia="zh-CN"/>
        </w:rPr>
        <w:t>并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</w:rPr>
        <w:t>共同控制合营企业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u w:val="none"/>
          <w:lang w:val="en-US" w:eastAsia="zh-CN" w:bidi="ar-SA"/>
        </w:rPr>
        <w:t>，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eastAsia="zh-CN"/>
        </w:rPr>
        <w:t>属于《反垄断法》第二十条规定的经营者集中。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topLinePunct w:val="0"/>
        <w:bidi w:val="0"/>
        <w:adjustRightInd w:val="0"/>
        <w:spacing w:line="580" w:lineRule="exact"/>
        <w:ind w:left="0" w:firstLine="643"/>
        <w:textAlignment w:val="auto"/>
        <w:rPr>
          <w:rFonts w:hint="eastAsia" w:ascii="微软雅黑" w:hAnsi="微软雅黑" w:eastAsia="微软雅黑" w:cs="微软雅黑"/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val="en-US" w:eastAsia="zh-CN"/>
        </w:rPr>
        <w:t>2015年度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val="en-US" w:eastAsia="zh-CN"/>
        </w:rPr>
        <w:t>宁波誉衡全球和中国境内营业额为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eastAsia="zh-CN"/>
        </w:rPr>
        <w:t>（略）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val="en-US" w:eastAsia="zh-CN"/>
        </w:rPr>
        <w:t>；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val="en-US" w:eastAsia="zh-CN"/>
        </w:rPr>
        <w:t>京东邦能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</w:rPr>
        <w:t>全球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eastAsia="zh-CN"/>
        </w:rPr>
        <w:t>和中国境内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</w:rPr>
        <w:t>营业额为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eastAsia="zh-CN"/>
        </w:rPr>
        <w:t>（略）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u w:val="none"/>
          <w:lang w:val="en-US" w:eastAsia="zh-CN" w:bidi="ar-SA"/>
        </w:rPr>
        <w:t>达到《国务院关于经营者集中申报标准的规定》第三条规定的申报标准，属于应当申报的情形。</w:t>
      </w:r>
    </w:p>
    <w:p>
      <w:pPr>
        <w:pStyle w:val="5"/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0" w:beforeAutospacing="0" w:after="0" w:afterAutospacing="0" w:line="580" w:lineRule="exact"/>
        <w:ind w:firstLine="408" w:firstLineChars="200"/>
        <w:jc w:val="both"/>
        <w:textAlignment w:val="auto"/>
        <w:outlineLvl w:val="9"/>
        <w:rPr>
          <w:rFonts w:hint="eastAsia" w:ascii="微软雅黑" w:hAnsi="微软雅黑" w:eastAsia="微软雅黑" w:cs="微软雅黑"/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</w:rPr>
        <w:t>《反垄断法》第二十一条规定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eastAsia="zh-CN"/>
        </w:rPr>
        <w:t>“经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</w:rPr>
        <w:t>营者集中达到国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u w:val="none"/>
          <w:lang w:val="en-US" w:eastAsia="zh-CN" w:bidi="ar-SA"/>
        </w:rPr>
        <w:t>务院规定的申报标准的，经营者应当事先向国务院反垄断执法机构申报，未申报的不得实施集中”。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2016年5月23日，合营企业取得营业执照，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u w:val="none"/>
          <w:lang w:val="en-US" w:eastAsia="zh-CN" w:bidi="ar-SA"/>
        </w:rPr>
        <w:t>在此之前未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u w:val="none"/>
          <w:lang w:val="en-US" w:eastAsia="zh-CN" w:bidi="ar-SA"/>
        </w:rPr>
        <w:t>依法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u w:val="none"/>
          <w:lang w:val="en-US" w:eastAsia="zh-CN" w:bidi="ar-SA"/>
        </w:rPr>
        <w:t>申报，违反《反垄断法》第二十一条，构成违法实施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</w:rPr>
        <w:t>的经营者集中。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kern w:val="2"/>
          <w:sz w:val="21"/>
          <w:szCs w:val="21"/>
        </w:rPr>
        <w:t>（二）本案不具有排除、限制竞争的效果。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80" w:lineRule="exact"/>
        <w:ind w:firstLine="408" w:firstLineChars="200"/>
        <w:textAlignment w:val="auto"/>
        <w:outlineLvl w:val="0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本机关就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宁波誉衡与京东邦能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设立合营企业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对市场竞争的影响进行了评估，评估认为，该项经营者集中不会产生排除、限制竞争的效果。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三、行政处罚依据和决定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80" w:lineRule="exact"/>
        <w:ind w:firstLine="400" w:firstLineChars="196"/>
        <w:textAlignment w:val="auto"/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</w:rPr>
        <w:t>《反垄断法》第四十八条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lang w:eastAsia="zh-CN"/>
        </w:rPr>
        <w:t>规定“经营者违反本法规定实施集中的，由国务院反垄断执法机构责令停止实施集中、限期处分股份或者资产、限期转让营业以及采取其他必要措施恢复到集中前的状态，可以处五十万元以下的罚款”。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</w:rPr>
        <w:t>《反垄断法》第四十九条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lang w:eastAsia="zh-CN"/>
        </w:rPr>
        <w:t>规定“对本法第四十六条、第四十七条、第四十八条规定的罚款，反垄断执法机构确定具体罚款数额时，应当考虑违法行为的性质、程度和持续的时间等因素”。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</w:rPr>
        <w:t>根据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lang w:eastAsia="zh-CN"/>
        </w:rPr>
        <w:t>上述规定，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</w:rPr>
        <w:t>基于调查情况和评估结论，本机关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lang w:eastAsia="zh-CN"/>
        </w:rPr>
        <w:t>决定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lang w:eastAsia="zh-CN"/>
        </w:rPr>
        <w:t>分别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lang w:eastAsia="zh-CN"/>
        </w:rPr>
        <w:t>给予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宁波誉衡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京东邦能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/>
        </w:rPr>
        <w:t>各</w:t>
      </w:r>
      <w:r>
        <w:rPr>
          <w:rFonts w:hint="eastAsia" w:ascii="微软雅黑" w:hAnsi="微软雅黑" w:eastAsia="微软雅黑" w:cs="微软雅黑"/>
          <w:bCs/>
          <w:color w:val="auto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</w:rPr>
        <w:t>0万元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  <w:lang w:eastAsia="zh-CN"/>
        </w:rPr>
        <w:t>罚款</w:t>
      </w:r>
      <w:r>
        <w:rPr>
          <w:rFonts w:hint="eastAsia" w:ascii="微软雅黑" w:hAnsi="微软雅黑" w:eastAsia="微软雅黑" w:cs="微软雅黑"/>
          <w:bCs/>
          <w:color w:val="auto"/>
          <w:kern w:val="2"/>
          <w:sz w:val="21"/>
          <w:szCs w:val="21"/>
        </w:rPr>
        <w:t>的行政处罚。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《行政处罚法》第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六十七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条规定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“作出罚款决定的行政机关应当与收缴罚款的机构分离。除依照本法第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六十八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条、第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六十九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条的规定当场收缴的罚款外，作出行政处罚决定的行政机关及其执法人员不得自行收缴罚款。当事人应当自收到行政处罚决定书之日起十五日内，到指定的银行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或者通过电子支付系统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缴纳罚款。银行应当收受罚款，并将罚款直接上缴国库”。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当事人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应当自收到本行政处罚决定书之日起十五日内，携缴款码到1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家中央财政非税收入收缴代理银行（工、农、中、建、交、中信、光大、招商、邮储、华夏、平安、兴业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、民生、广发、浙商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）任一银行网点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网上银行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/>
        </w:rPr>
        <w:t>缴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纳罚款。缴款码：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（略）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当事人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 xml:space="preserve">如对上述行政处罚决定不服，可以自收到本行政处罚决定书之日起六十日内，向国家市场监督管理总局申请行政复议；或者自收到本行政处罚决定书之日起六个月内，依法向人民法院提起行政诉讼。行政复议或者行政诉讼期间，本行政处罚决定不停止执行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pacing w:after="0" w:line="580" w:lineRule="exact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 w:val="0"/>
        <w:spacing w:line="580" w:lineRule="exact"/>
        <w:ind w:firstLine="3530" w:firstLineChars="1730"/>
        <w:textAlignment w:val="auto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市场监管总局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 w:val="0"/>
        <w:spacing w:line="580" w:lineRule="exact"/>
        <w:ind w:firstLine="3395" w:firstLineChars="1664"/>
        <w:textAlignment w:val="auto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202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年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/>
        </w:rPr>
        <w:t>12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月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val="en-US" w:eastAsia="zh-CN"/>
        </w:rPr>
        <w:t>31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80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（此件公开发布）</w:t>
      </w:r>
    </w:p>
    <w:bookmarkEnd w:id="0"/>
    <w:sectPr>
      <w:footerReference r:id="rId3" w:type="default"/>
      <w:footerReference r:id="rId4" w:type="even"/>
      <w:pgSz w:w="11906" w:h="16838"/>
      <w:pgMar w:top="1440" w:right="1803" w:bottom="1440" w:left="1803" w:header="851" w:footer="1814" w:gutter="0"/>
      <w:cols w:space="0" w:num="1"/>
      <w:rtlGutter w:val="0"/>
      <w:docGrid w:type="linesAndChars" w:linePitch="290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315" w:leftChars="150" w:right="315" w:rightChars="150"/>
      <w:rPr>
        <w:rStyle w:val="8"/>
        <w:rFonts w:hint="eastAsia" w:ascii="宋体" w:hAnsi="宋体"/>
        <w:sz w:val="28"/>
        <w:szCs w:val="28"/>
      </w:rPr>
    </w:pPr>
    <w:r>
      <w:rPr>
        <w:rStyle w:val="8"/>
        <w:rFonts w:hint="eastAsia" w:ascii="宋体" w:hAnsi="宋体"/>
        <w:sz w:val="28"/>
        <w:szCs w:val="28"/>
      </w:rPr>
      <w:t xml:space="preserve">— </w:t>
    </w:r>
    <w:r>
      <w:rPr>
        <w:rStyle w:val="8"/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Style w:val="8"/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1</w:t>
    </w:r>
    <w:r>
      <w:rPr>
        <w:rStyle w:val="8"/>
        <w:rFonts w:ascii="宋体" w:hAnsi="宋体"/>
        <w:sz w:val="28"/>
        <w:szCs w:val="28"/>
      </w:rPr>
      <w:fldChar w:fldCharType="end"/>
    </w:r>
    <w:r>
      <w:rPr>
        <w:rStyle w:val="8"/>
        <w:rFonts w:hint="eastAsia" w:ascii="宋体" w:hAnsi="宋体"/>
        <w:sz w:val="28"/>
        <w:szCs w:val="28"/>
      </w:rPr>
      <w:t xml:space="preserve"> —</w:t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570B1"/>
    <w:rsid w:val="05D15580"/>
    <w:rsid w:val="075F674C"/>
    <w:rsid w:val="08A87185"/>
    <w:rsid w:val="09AC08F5"/>
    <w:rsid w:val="13F85EFD"/>
    <w:rsid w:val="16657401"/>
    <w:rsid w:val="169767E4"/>
    <w:rsid w:val="173B2FCB"/>
    <w:rsid w:val="18DB1E51"/>
    <w:rsid w:val="192053EE"/>
    <w:rsid w:val="1A156921"/>
    <w:rsid w:val="1B095395"/>
    <w:rsid w:val="1B6219C3"/>
    <w:rsid w:val="1C11264C"/>
    <w:rsid w:val="1D3570B1"/>
    <w:rsid w:val="1ED67F29"/>
    <w:rsid w:val="1F573D93"/>
    <w:rsid w:val="2129014B"/>
    <w:rsid w:val="21623065"/>
    <w:rsid w:val="21A54411"/>
    <w:rsid w:val="239A0124"/>
    <w:rsid w:val="265326DA"/>
    <w:rsid w:val="28C8606C"/>
    <w:rsid w:val="29171A1E"/>
    <w:rsid w:val="2A7A6DC6"/>
    <w:rsid w:val="2B0F6D0F"/>
    <w:rsid w:val="2EA56827"/>
    <w:rsid w:val="315D5D56"/>
    <w:rsid w:val="31E778A8"/>
    <w:rsid w:val="33B94AAA"/>
    <w:rsid w:val="33E16394"/>
    <w:rsid w:val="38043EF0"/>
    <w:rsid w:val="39E75B24"/>
    <w:rsid w:val="3D086E74"/>
    <w:rsid w:val="3FAD2E94"/>
    <w:rsid w:val="4297136E"/>
    <w:rsid w:val="44F1186A"/>
    <w:rsid w:val="48797BF4"/>
    <w:rsid w:val="48A63464"/>
    <w:rsid w:val="49513DE5"/>
    <w:rsid w:val="49F75885"/>
    <w:rsid w:val="4ABC40B8"/>
    <w:rsid w:val="4EF957B9"/>
    <w:rsid w:val="4EFD73AF"/>
    <w:rsid w:val="51075873"/>
    <w:rsid w:val="52A77C54"/>
    <w:rsid w:val="56D81614"/>
    <w:rsid w:val="5A3853F1"/>
    <w:rsid w:val="5BDD2331"/>
    <w:rsid w:val="5C686AC3"/>
    <w:rsid w:val="5D4E6DD5"/>
    <w:rsid w:val="630535E1"/>
    <w:rsid w:val="63432760"/>
    <w:rsid w:val="640E6FE8"/>
    <w:rsid w:val="65EE0793"/>
    <w:rsid w:val="68197930"/>
    <w:rsid w:val="686D740E"/>
    <w:rsid w:val="6A564164"/>
    <w:rsid w:val="6F712D0C"/>
    <w:rsid w:val="7073388E"/>
    <w:rsid w:val="71945C39"/>
    <w:rsid w:val="73813C8C"/>
    <w:rsid w:val="75D0DD58"/>
    <w:rsid w:val="799C3559"/>
    <w:rsid w:val="7A782B89"/>
    <w:rsid w:val="7D641176"/>
    <w:rsid w:val="7FFE0ED6"/>
    <w:rsid w:val="BDFEE748"/>
    <w:rsid w:val="D77A9A2A"/>
    <w:rsid w:val="DFFB2ED8"/>
    <w:rsid w:val="FA3D9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Calibri" w:hAnsi="Calibri" w:eastAsia="宋体" w:cs="Times New Roman"/>
      <w:szCs w:val="22"/>
    </w:rPr>
  </w:style>
  <w:style w:type="paragraph" w:styleId="3">
    <w:name w:val="Normal Indent"/>
    <w:basedOn w:val="1"/>
    <w:qFormat/>
    <w:uiPriority w:val="0"/>
    <w:pPr>
      <w:spacing w:line="360" w:lineRule="exact"/>
      <w:ind w:firstLine="420" w:firstLineChars="200"/>
    </w:pPr>
    <w:rPr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内容"/>
    <w:basedOn w:val="1"/>
    <w:qFormat/>
    <w:uiPriority w:val="0"/>
    <w:pPr>
      <w:suppressAutoHyphens/>
      <w:overflowPunct w:val="0"/>
      <w:autoSpaceDE w:val="0"/>
      <w:autoSpaceDN w:val="0"/>
      <w:adjustRightInd w:val="0"/>
      <w:spacing w:line="360" w:lineRule="auto"/>
      <w:ind w:firstLine="200" w:firstLineChars="200"/>
    </w:pPr>
    <w:rPr>
      <w:rFonts w:ascii="仿宋_GB2312" w:hAns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2020-12-11T02:26:00Z</dcterms:created>
  <dc:creator>徐霄飞</dc:creator>
  <cp:lastModifiedBy>陈永仁</cp:lastModifiedBy>
  <cp:lastPrinted>2021-12-29T02:16:00Z</cp:lastPrinted>
  <dcterms:modified xsi:type="dcterms:W3CDTF">2022-01-05T11:52:31Z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5501A90EA5174ACEA2CB46F86A55CD5E</vt:lpwstr>
  </property>
</Properties>
</file>