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Toc527306881"/>
      <w:bookmarkStart w:id="1" w:name="_Toc17235"/>
      <w:bookmarkStart w:id="2" w:name="_Toc527562381"/>
      <w:bookmarkStart w:id="3" w:name="_Toc528826258"/>
      <w:bookmarkStart w:id="4" w:name="_Toc23020_WPSOffice_Level1"/>
      <w:bookmarkStart w:id="5" w:name="_Toc529343112"/>
      <w:bookmarkStart w:id="6" w:name="_Toc527378176"/>
      <w:bookmarkStart w:id="16" w:name="_GoBack"/>
      <w:r>
        <w:rPr>
          <w:rFonts w:hint="eastAsia" w:ascii="微软雅黑" w:hAnsi="微软雅黑" w:eastAsia="微软雅黑" w:cs="微软雅黑"/>
          <w:bCs/>
          <w:color w:val="000000"/>
          <w:spacing w:val="202"/>
          <w:kern w:val="0"/>
          <w:sz w:val="21"/>
          <w:szCs w:val="21"/>
          <w:fitText w:val="5742" w:id="-1167108"/>
        </w:rPr>
        <w:t>国家市场监督管理总</w:t>
      </w:r>
      <w:r>
        <w:rPr>
          <w:rFonts w:hint="eastAsia" w:ascii="微软雅黑" w:hAnsi="微软雅黑" w:eastAsia="微软雅黑" w:cs="微软雅黑"/>
          <w:bCs/>
          <w:color w:val="000000"/>
          <w:spacing w:val="3"/>
          <w:kern w:val="0"/>
          <w:sz w:val="21"/>
          <w:szCs w:val="21"/>
          <w:fitText w:val="5742" w:id="-1167108"/>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36311865"/>
        </w:rPr>
        <w:t>行政处罚决定</w:t>
      </w:r>
      <w:r>
        <w:rPr>
          <w:rFonts w:hint="eastAsia" w:ascii="微软雅黑" w:hAnsi="微软雅黑" w:eastAsia="微软雅黑" w:cs="微软雅黑"/>
          <w:bCs/>
          <w:color w:val="000000"/>
          <w:spacing w:val="0"/>
          <w:kern w:val="0"/>
          <w:sz w:val="21"/>
          <w:szCs w:val="21"/>
          <w:fitText w:val="5742" w:id="-36311865"/>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bookmarkStart w:id="7" w:name="OLE_LINK6"/>
      <w:r>
        <w:rPr>
          <w:rFonts w:hint="eastAsia" w:ascii="微软雅黑" w:hAnsi="微软雅黑" w:eastAsia="微软雅黑" w:cs="微软雅黑"/>
          <w:kern w:val="2"/>
          <w:sz w:val="21"/>
          <w:szCs w:val="21"/>
        </w:rPr>
        <w:t>国市监处</w:t>
      </w:r>
      <w:r>
        <w:rPr>
          <w:rFonts w:hint="eastAsia" w:ascii="微软雅黑" w:hAnsi="微软雅黑" w:eastAsia="微软雅黑" w:cs="微软雅黑"/>
          <w:kern w:val="2"/>
          <w:sz w:val="21"/>
          <w:szCs w:val="21"/>
          <w:lang w:eastAsia="zh-CN"/>
        </w:rPr>
        <w:t>罚</w:t>
      </w: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119</w:t>
      </w:r>
      <w:r>
        <w:rPr>
          <w:rFonts w:hint="eastAsia" w:ascii="微软雅黑" w:hAnsi="微软雅黑" w:eastAsia="微软雅黑" w:cs="微软雅黑"/>
          <w:kern w:val="2"/>
          <w:sz w:val="21"/>
          <w:szCs w:val="21"/>
        </w:rPr>
        <w:t>号</w:t>
      </w:r>
      <w:bookmarkEnd w:id="7"/>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topLinePunct w:val="0"/>
        <w:autoSpaceDE/>
        <w:autoSpaceDN/>
        <w:bidi w:val="0"/>
        <w:adjustRightInd/>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rPr>
        <w:t>龙湖嘉悦物业服务有限公司</w:t>
      </w:r>
    </w:p>
    <w:p>
      <w:pPr>
        <w:keepNext w:val="0"/>
        <w:keepLines w:val="0"/>
        <w:pageBreakBefore w:val="0"/>
        <w:widowControl w:val="0"/>
        <w:suppressAutoHyphens/>
        <w:kinsoku/>
        <w:wordWrap/>
        <w:overflowPunct/>
        <w:topLinePunct w:val="0"/>
        <w:autoSpaceDE/>
        <w:autoSpaceDN/>
        <w:bidi w:val="0"/>
        <w:adjustRightInd/>
        <w:spacing w:line="594" w:lineRule="exact"/>
        <w:ind w:firstLine="420"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sz w:val="21"/>
          <w:szCs w:val="21"/>
        </w:rPr>
        <w:t>重庆市南岸区光电路26号会所</w:t>
      </w:r>
    </w:p>
    <w:bookmarkEnd w:id="0"/>
    <w:bookmarkEnd w:id="1"/>
    <w:bookmarkEnd w:id="2"/>
    <w:bookmarkEnd w:id="3"/>
    <w:bookmarkEnd w:id="4"/>
    <w:bookmarkEnd w:id="5"/>
    <w:bookmarkEnd w:id="6"/>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sz w:val="21"/>
          <w:szCs w:val="21"/>
          <w:lang w:val="en-US" w:eastAsia="zh-CN"/>
        </w:rPr>
      </w:pPr>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val="en-US" w:eastAsia="zh-CN"/>
        </w:rPr>
        <w:t>根据《中华人民共和国反垄断法》（以下简称《反垄断法》）《经营者集中审查暂行规定》，本机关于2021年</w:t>
      </w:r>
      <w:r>
        <w:rPr>
          <w:rFonts w:hint="eastAsia" w:ascii="微软雅黑" w:hAnsi="微软雅黑" w:eastAsia="微软雅黑" w:cs="微软雅黑"/>
          <w:sz w:val="21"/>
          <w:szCs w:val="21"/>
          <w:lang w:val="en-US" w:eastAsia="zh-CN"/>
        </w:rPr>
        <w:t>10月20</w:t>
      </w:r>
      <w:r>
        <w:rPr>
          <w:rFonts w:hint="eastAsia" w:ascii="微软雅黑" w:hAnsi="微软雅黑" w:eastAsia="微软雅黑" w:cs="微软雅黑"/>
          <w:sz w:val="21"/>
          <w:szCs w:val="21"/>
        </w:rPr>
        <w:t>日</w:t>
      </w:r>
      <w:r>
        <w:rPr>
          <w:rFonts w:hint="eastAsia" w:ascii="微软雅黑" w:hAnsi="微软雅黑" w:eastAsia="微软雅黑" w:cs="微软雅黑"/>
          <w:kern w:val="2"/>
          <w:sz w:val="21"/>
          <w:szCs w:val="21"/>
        </w:rPr>
        <w:t>对</w:t>
      </w:r>
      <w:bookmarkStart w:id="8" w:name="OLE_LINK42"/>
      <w:bookmarkStart w:id="9" w:name="OLE_LINK4"/>
      <w:bookmarkStart w:id="10" w:name="OLE_LINK7"/>
      <w:bookmarkStart w:id="11" w:name="OLE_LINK41"/>
      <w:bookmarkStart w:id="12" w:name="OLE_LINK47"/>
      <w:bookmarkStart w:id="13" w:name="OLE_LINK13"/>
      <w:r>
        <w:rPr>
          <w:rFonts w:hint="eastAsia" w:ascii="微软雅黑" w:hAnsi="微软雅黑" w:eastAsia="微软雅黑" w:cs="微软雅黑"/>
          <w:sz w:val="21"/>
          <w:szCs w:val="21"/>
        </w:rPr>
        <w:t>龙湖嘉悦物业服务有限公司（以下</w:t>
      </w:r>
      <w:r>
        <w:rPr>
          <w:rFonts w:hint="eastAsia" w:ascii="微软雅黑" w:hAnsi="微软雅黑" w:eastAsia="微软雅黑" w:cs="微软雅黑"/>
          <w:sz w:val="21"/>
          <w:szCs w:val="21"/>
          <w:lang w:eastAsia="zh-CN"/>
        </w:rPr>
        <w:t>简</w:t>
      </w:r>
      <w:r>
        <w:rPr>
          <w:rFonts w:hint="eastAsia" w:ascii="微软雅黑" w:hAnsi="微软雅黑" w:eastAsia="微软雅黑" w:cs="微软雅黑"/>
          <w:sz w:val="21"/>
          <w:szCs w:val="21"/>
        </w:rPr>
        <w:t>称龙湖嘉悦）收购亿达物业服务集团有限公司（以下</w:t>
      </w:r>
      <w:r>
        <w:rPr>
          <w:rFonts w:hint="eastAsia" w:ascii="微软雅黑" w:hAnsi="微软雅黑" w:eastAsia="微软雅黑" w:cs="微软雅黑"/>
          <w:sz w:val="21"/>
          <w:szCs w:val="21"/>
          <w:lang w:eastAsia="zh-CN"/>
        </w:rPr>
        <w:t>简</w:t>
      </w:r>
      <w:r>
        <w:rPr>
          <w:rFonts w:hint="eastAsia" w:ascii="微软雅黑" w:hAnsi="微软雅黑" w:eastAsia="微软雅黑" w:cs="微软雅黑"/>
          <w:sz w:val="21"/>
          <w:szCs w:val="21"/>
        </w:rPr>
        <w:t>称亿达</w:t>
      </w:r>
      <w:r>
        <w:rPr>
          <w:rFonts w:hint="eastAsia" w:ascii="微软雅黑" w:hAnsi="微软雅黑" w:eastAsia="微软雅黑" w:cs="微软雅黑"/>
          <w:sz w:val="21"/>
          <w:szCs w:val="21"/>
          <w:lang w:eastAsia="zh-CN"/>
        </w:rPr>
        <w:t>服务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股权</w:t>
      </w:r>
      <w:r>
        <w:rPr>
          <w:rFonts w:hint="eastAsia" w:ascii="微软雅黑" w:hAnsi="微软雅黑" w:eastAsia="微软雅黑" w:cs="微软雅黑"/>
          <w:sz w:val="21"/>
          <w:szCs w:val="21"/>
          <w:lang w:val="en-US" w:eastAsia="zh-CN"/>
        </w:rPr>
        <w:t>涉嫌未依法申报违法实施经营者集中案</w:t>
      </w:r>
      <w:bookmarkEnd w:id="8"/>
      <w:bookmarkEnd w:id="9"/>
      <w:bookmarkEnd w:id="10"/>
      <w:bookmarkEnd w:id="11"/>
      <w:bookmarkEnd w:id="12"/>
      <w:bookmarkEnd w:id="13"/>
      <w:r>
        <w:rPr>
          <w:rFonts w:hint="eastAsia" w:ascii="微软雅黑" w:hAnsi="微软雅黑" w:eastAsia="微软雅黑" w:cs="微软雅黑"/>
          <w:kern w:val="2"/>
          <w:sz w:val="21"/>
          <w:szCs w:val="21"/>
        </w:rPr>
        <w:t>进行立案调查。</w:t>
      </w:r>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sz w:val="21"/>
          <w:szCs w:val="21"/>
        </w:rPr>
        <w:t>龙湖嘉悦</w:t>
      </w:r>
      <w:r>
        <w:rPr>
          <w:rFonts w:hint="eastAsia" w:ascii="微软雅黑" w:hAnsi="微软雅黑" w:eastAsia="微软雅黑" w:cs="微软雅黑"/>
          <w:kern w:val="2"/>
          <w:sz w:val="21"/>
          <w:szCs w:val="21"/>
        </w:rPr>
        <w:t>送达了《行政处罚告知书》，</w:t>
      </w:r>
      <w:r>
        <w:rPr>
          <w:rFonts w:hint="eastAsia" w:ascii="微软雅黑" w:hAnsi="微软雅黑" w:eastAsia="微软雅黑" w:cs="微软雅黑"/>
          <w:color w:val="auto"/>
          <w:kern w:val="2"/>
          <w:sz w:val="21"/>
          <w:szCs w:val="21"/>
        </w:rPr>
        <w:t>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sz w:val="21"/>
          <w:szCs w:val="21"/>
        </w:rPr>
        <w:t>龙湖嘉悦</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（一）交易方。</w:t>
      </w:r>
    </w:p>
    <w:p>
      <w:pPr>
        <w:widowControl w:val="0"/>
        <w:suppressAutoHyphens/>
        <w:overflowPunct w:val="0"/>
        <w:autoSpaceDE w:val="0"/>
        <w:autoSpaceDN w:val="0"/>
        <w:adjustRightInd w:val="0"/>
        <w:spacing w:line="240" w:lineRule="auto"/>
        <w:ind w:firstLine="420" w:firstLineChars="20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b/>
          <w:kern w:val="2"/>
          <w:sz w:val="21"/>
          <w:szCs w:val="21"/>
          <w:lang w:val="en-US" w:eastAsia="zh-CN" w:bidi="ar-SA"/>
        </w:rPr>
        <w:t>收购方：龙湖嘉悦。</w:t>
      </w:r>
      <w:r>
        <w:rPr>
          <w:rFonts w:hint="eastAsia" w:ascii="微软雅黑" w:hAnsi="微软雅黑" w:eastAsia="微软雅黑" w:cs="微软雅黑"/>
          <w:kern w:val="2"/>
          <w:sz w:val="21"/>
          <w:szCs w:val="21"/>
          <w:lang w:val="en-US" w:eastAsia="zh-CN" w:bidi="ar-SA"/>
        </w:rPr>
        <w:t>2018年6月于重庆市南岸区注册成立，最终控制人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，主要从事房地产开发和运营以及物业管理服务业务。</w:t>
      </w:r>
      <w:r>
        <w:rPr>
          <w:rFonts w:hint="eastAsia" w:ascii="微软雅黑" w:hAnsi="微软雅黑" w:eastAsia="微软雅黑" w:cs="微软雅黑"/>
          <w:color w:val="000000"/>
          <w:sz w:val="21"/>
          <w:szCs w:val="21"/>
          <w:lang w:val="en-US" w:eastAsia="zh-CN"/>
        </w:rPr>
        <w:t>龙湖嘉悦2020年全球和中国境内营业额均为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人民币（币种下同）。</w:t>
      </w:r>
    </w:p>
    <w:p>
      <w:pPr>
        <w:widowControl w:val="0"/>
        <w:suppressAutoHyphens/>
        <w:overflowPunct w:val="0"/>
        <w:autoSpaceDE w:val="0"/>
        <w:autoSpaceDN w:val="0"/>
        <w:adjustRightInd w:val="0"/>
        <w:spacing w:line="240" w:lineRule="auto"/>
        <w:ind w:firstLine="420" w:firstLineChars="200"/>
        <w:jc w:val="both"/>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
          <w:kern w:val="2"/>
          <w:sz w:val="21"/>
          <w:szCs w:val="21"/>
          <w:lang w:val="en-US" w:eastAsia="zh-CN" w:bidi="ar-SA"/>
        </w:rPr>
        <w:t>被收购方：亿达服务。</w:t>
      </w:r>
      <w:r>
        <w:rPr>
          <w:rFonts w:hint="eastAsia" w:ascii="微软雅黑" w:hAnsi="微软雅黑" w:eastAsia="微软雅黑" w:cs="微软雅黑"/>
          <w:color w:val="000000"/>
          <w:kern w:val="2"/>
          <w:sz w:val="21"/>
          <w:szCs w:val="21"/>
          <w:lang w:val="en-US" w:eastAsia="zh-CN" w:bidi="ar-SA"/>
        </w:rPr>
        <w:t>2000年6月于辽宁省大连高新技术产业园区注册成立，交易前最终控制人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color w:val="000000"/>
          <w:kern w:val="2"/>
          <w:sz w:val="21"/>
          <w:szCs w:val="21"/>
          <w:lang w:val="en-US" w:eastAsia="zh-CN" w:bidi="ar-SA"/>
        </w:rPr>
        <w:t>，主要从事住宅和商业物业管理服务业务。亿达</w:t>
      </w:r>
      <w:r>
        <w:rPr>
          <w:rFonts w:hint="eastAsia" w:ascii="微软雅黑" w:hAnsi="微软雅黑" w:eastAsia="微软雅黑" w:cs="微软雅黑"/>
          <w:sz w:val="21"/>
          <w:szCs w:val="21"/>
          <w:lang w:eastAsia="zh-CN"/>
        </w:rPr>
        <w:t>服务</w:t>
      </w:r>
      <w:r>
        <w:rPr>
          <w:rFonts w:hint="eastAsia" w:ascii="微软雅黑" w:hAnsi="微软雅黑" w:eastAsia="微软雅黑" w:cs="微软雅黑"/>
          <w:color w:val="000000"/>
          <w:sz w:val="21"/>
          <w:szCs w:val="21"/>
          <w:lang w:val="en-US" w:eastAsia="zh-CN"/>
        </w:rPr>
        <w:t>2020年全球和中国境内营业额均为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bCs/>
          <w:kern w:val="2"/>
          <w:sz w:val="21"/>
          <w:szCs w:val="21"/>
          <w:lang w:val="en-US" w:eastAsia="zh-CN" w:bidi="ar-SA"/>
        </w:rPr>
        <w:t>。</w:t>
      </w:r>
    </w:p>
    <w:p>
      <w:pPr>
        <w:keepNext w:val="0"/>
        <w:keepLines w:val="0"/>
        <w:pageBreakBefore w:val="0"/>
        <w:widowControl w:val="0"/>
        <w:kinsoku/>
        <w:wordWrap/>
        <w:topLinePunct w:val="0"/>
        <w:bidi w:val="0"/>
        <w:spacing w:line="594" w:lineRule="exact"/>
        <w:ind w:firstLine="420" w:firstLineChars="200"/>
        <w:textAlignment w:val="auto"/>
        <w:outlineLvl w:val="0"/>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（二）交易概况。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Cs/>
          <w:kern w:val="2"/>
          <w:sz w:val="21"/>
          <w:szCs w:val="21"/>
          <w:lang w:val="en-US" w:eastAsia="zh-CN" w:bidi="ar-SA"/>
        </w:rPr>
        <w:t>本交易系</w:t>
      </w:r>
      <w:r>
        <w:rPr>
          <w:rFonts w:hint="eastAsia" w:ascii="微软雅黑" w:hAnsi="微软雅黑" w:eastAsia="微软雅黑" w:cs="微软雅黑"/>
          <w:bCs/>
          <w:kern w:val="2"/>
          <w:sz w:val="21"/>
          <w:szCs w:val="21"/>
          <w:lang w:val="en-US" w:eastAsia="zh-CN" w:bidi="ar-SA"/>
        </w:rPr>
        <w:t>股权收购</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 w:val="0"/>
          <w:bCs w:val="0"/>
          <w:sz w:val="21"/>
          <w:szCs w:val="21"/>
        </w:rPr>
        <w:t>2021年3月4日，龙湖嘉悦与大连蓝湾房地产有限公司、诚悦控股有限公司、亿达发展有限公司、大连亿达服务咨询有限公司</w:t>
      </w:r>
      <w:r>
        <w:rPr>
          <w:rFonts w:hint="eastAsia" w:ascii="微软雅黑" w:hAnsi="微软雅黑" w:eastAsia="微软雅黑" w:cs="微软雅黑"/>
          <w:b w:val="0"/>
          <w:bCs w:val="0"/>
          <w:sz w:val="21"/>
          <w:szCs w:val="21"/>
          <w:lang w:eastAsia="zh-CN"/>
        </w:rPr>
        <w:t>等</w:t>
      </w:r>
      <w:r>
        <w:rPr>
          <w:rFonts w:hint="eastAsia" w:ascii="微软雅黑" w:hAnsi="微软雅黑" w:eastAsia="微软雅黑" w:cs="微软雅黑"/>
          <w:b w:val="0"/>
          <w:bCs w:val="0"/>
          <w:sz w:val="21"/>
          <w:szCs w:val="21"/>
        </w:rPr>
        <w:t>签署《股份转让协议》及《补充协议》，以</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b w:val="0"/>
          <w:bCs w:val="0"/>
          <w:sz w:val="21"/>
          <w:szCs w:val="21"/>
        </w:rPr>
        <w:t>取得亿达</w:t>
      </w:r>
      <w:r>
        <w:rPr>
          <w:rFonts w:hint="eastAsia" w:ascii="微软雅黑" w:hAnsi="微软雅黑" w:eastAsia="微软雅黑" w:cs="微软雅黑"/>
          <w:sz w:val="21"/>
          <w:szCs w:val="21"/>
          <w:lang w:eastAsia="zh-CN"/>
        </w:rPr>
        <w:t>服务</w:t>
      </w:r>
      <w:r>
        <w:rPr>
          <w:rFonts w:hint="eastAsia" w:ascii="微软雅黑" w:hAnsi="微软雅黑" w:eastAsia="微软雅黑" w:cs="微软雅黑"/>
          <w:b w:val="0"/>
          <w:bCs w:val="0"/>
          <w:sz w:val="21"/>
          <w:szCs w:val="21"/>
        </w:rPr>
        <w:t>100%股权。2021年3月9日，完成股权变更登记。</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（一）本案构成未依法申报违法实施的经营者集中。</w:t>
      </w:r>
    </w:p>
    <w:p>
      <w:pPr>
        <w:keepNext w:val="0"/>
        <w:keepLines w:val="0"/>
        <w:pageBreakBefore w:val="0"/>
        <w:widowControl w:val="0"/>
        <w:kinsoku/>
        <w:wordWrap/>
        <w:topLinePunct w:val="0"/>
        <w:bidi w:val="0"/>
        <w:spacing w:line="594" w:lineRule="exact"/>
        <w:ind w:firstLine="420" w:firstLineChars="200"/>
        <w:jc w:val="both"/>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 w:val="0"/>
          <w:bCs w:val="0"/>
          <w:sz w:val="21"/>
          <w:szCs w:val="21"/>
        </w:rPr>
        <w:t>2021年3月4日</w:t>
      </w:r>
      <w:r>
        <w:rPr>
          <w:rFonts w:hint="eastAsia" w:ascii="微软雅黑" w:hAnsi="微软雅黑" w:eastAsia="微软雅黑" w:cs="微软雅黑"/>
          <w:kern w:val="2"/>
          <w:sz w:val="21"/>
          <w:szCs w:val="21"/>
          <w:lang w:val="en-US" w:eastAsia="zh-CN" w:bidi="ar-SA"/>
        </w:rPr>
        <w:t>，龙湖嘉悦收购亿达服务100%股权，取得</w:t>
      </w:r>
      <w:r>
        <w:rPr>
          <w:rFonts w:hint="eastAsia" w:ascii="微软雅黑" w:hAnsi="微软雅黑" w:eastAsia="微软雅黑" w:cs="微软雅黑"/>
          <w:sz w:val="21"/>
          <w:szCs w:val="21"/>
          <w:lang w:eastAsia="zh-CN"/>
        </w:rPr>
        <w:t>控制权，</w:t>
      </w:r>
      <w:r>
        <w:rPr>
          <w:rFonts w:hint="eastAsia" w:ascii="微软雅黑" w:hAnsi="微软雅黑" w:eastAsia="微软雅黑" w:cs="微软雅黑"/>
          <w:bCs/>
          <w:sz w:val="21"/>
          <w:szCs w:val="21"/>
        </w:rPr>
        <w:t>属于《反垄断法》第二十条规定的经营者集中。</w:t>
      </w:r>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bookmarkStart w:id="14" w:name="OLE_LINK26"/>
      <w:bookmarkStart w:id="15" w:name="OLE_LINK49"/>
      <w:r>
        <w:rPr>
          <w:rFonts w:hint="eastAsia" w:ascii="微软雅黑" w:hAnsi="微软雅黑" w:eastAsia="微软雅黑" w:cs="微软雅黑"/>
          <w:sz w:val="21"/>
          <w:szCs w:val="21"/>
          <w:lang w:eastAsia="zh-CN"/>
        </w:rPr>
        <w:t>20</w:t>
      </w:r>
      <w:r>
        <w:rPr>
          <w:rFonts w:hint="eastAsia" w:ascii="微软雅黑" w:hAnsi="微软雅黑" w:eastAsia="微软雅黑" w:cs="微软雅黑"/>
          <w:sz w:val="21"/>
          <w:szCs w:val="21"/>
          <w:lang w:val="en-US" w:eastAsia="zh-CN"/>
        </w:rPr>
        <w:t>20年度，</w:t>
      </w:r>
      <w:r>
        <w:rPr>
          <w:rFonts w:hint="eastAsia" w:ascii="微软雅黑" w:hAnsi="微软雅黑" w:eastAsia="微软雅黑" w:cs="微软雅黑"/>
          <w:color w:val="000000"/>
          <w:sz w:val="21"/>
          <w:szCs w:val="21"/>
          <w:lang w:val="en-US" w:eastAsia="zh-CN"/>
        </w:rPr>
        <w:t>龙湖嘉悦全球和中国境内营业额均为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sz w:val="21"/>
          <w:szCs w:val="21"/>
        </w:rPr>
        <w:t>；</w:t>
      </w:r>
      <w:r>
        <w:rPr>
          <w:rFonts w:hint="eastAsia" w:ascii="微软雅黑" w:hAnsi="微软雅黑" w:eastAsia="微软雅黑" w:cs="微软雅黑"/>
          <w:color w:val="000000"/>
          <w:kern w:val="2"/>
          <w:sz w:val="21"/>
          <w:szCs w:val="21"/>
          <w:lang w:val="en-US" w:eastAsia="zh-CN" w:bidi="ar-SA"/>
        </w:rPr>
        <w:t>亿达</w:t>
      </w:r>
      <w:r>
        <w:rPr>
          <w:rFonts w:hint="eastAsia" w:ascii="微软雅黑" w:hAnsi="微软雅黑" w:eastAsia="微软雅黑" w:cs="微软雅黑"/>
          <w:sz w:val="21"/>
          <w:szCs w:val="21"/>
          <w:lang w:eastAsia="zh-CN"/>
        </w:rPr>
        <w:t>服务</w:t>
      </w:r>
      <w:r>
        <w:rPr>
          <w:rFonts w:hint="eastAsia" w:ascii="微软雅黑" w:hAnsi="微软雅黑" w:eastAsia="微软雅黑" w:cs="微软雅黑"/>
          <w:color w:val="000000"/>
          <w:sz w:val="21"/>
          <w:szCs w:val="21"/>
          <w:lang w:val="en-US" w:eastAsia="zh-CN"/>
        </w:rPr>
        <w:t>全球和中国境内营业额均为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kern w:val="2"/>
          <w:sz w:val="21"/>
          <w:szCs w:val="21"/>
          <w:lang w:eastAsia="zh-CN"/>
        </w:rPr>
        <w:t>达到《国务院关于经营者集中申报标准的规定》第三条规定的申报标准，属于应当申报的情形。</w:t>
      </w:r>
      <w:bookmarkEnd w:id="14"/>
      <w:bookmarkEnd w:id="15"/>
    </w:p>
    <w:p>
      <w:pPr>
        <w:keepNext w:val="0"/>
        <w:keepLines w:val="0"/>
        <w:pageBreakBefore w:val="0"/>
        <w:widowControl w:val="0"/>
        <w:kinsoku/>
        <w:wordWrap/>
        <w:topLinePunct w:val="0"/>
        <w:bidi w:val="0"/>
        <w:spacing w:line="594" w:lineRule="exact"/>
        <w:ind w:firstLine="411"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b w:val="0"/>
          <w:bCs w:val="0"/>
          <w:sz w:val="21"/>
          <w:szCs w:val="21"/>
        </w:rPr>
        <w:t>2021年3月9日，</w:t>
      </w:r>
      <w:r>
        <w:rPr>
          <w:rFonts w:hint="eastAsia" w:ascii="微软雅黑" w:hAnsi="微软雅黑" w:eastAsia="微软雅黑" w:cs="微软雅黑"/>
          <w:b w:val="0"/>
          <w:bCs w:val="0"/>
          <w:sz w:val="21"/>
          <w:szCs w:val="21"/>
          <w:lang w:eastAsia="zh-CN"/>
        </w:rPr>
        <w:t>本交易</w:t>
      </w:r>
      <w:r>
        <w:rPr>
          <w:rFonts w:hint="eastAsia" w:ascii="微软雅黑" w:hAnsi="微软雅黑" w:eastAsia="微软雅黑" w:cs="微软雅黑"/>
          <w:b w:val="0"/>
          <w:bCs w:val="0"/>
          <w:sz w:val="21"/>
          <w:szCs w:val="21"/>
        </w:rPr>
        <w:t>完成股权变更登记</w:t>
      </w:r>
      <w:r>
        <w:rPr>
          <w:rFonts w:hint="eastAsia" w:ascii="微软雅黑" w:hAnsi="微软雅黑" w:eastAsia="微软雅黑" w:cs="微软雅黑"/>
          <w:bCs/>
          <w:sz w:val="21"/>
          <w:szCs w:val="21"/>
        </w:rPr>
        <w:t>，</w:t>
      </w:r>
      <w:r>
        <w:rPr>
          <w:rFonts w:hint="eastAsia" w:ascii="微软雅黑" w:hAnsi="微软雅黑" w:eastAsia="微软雅黑" w:cs="微软雅黑"/>
          <w:bCs/>
          <w:kern w:val="2"/>
          <w:sz w:val="21"/>
          <w:szCs w:val="21"/>
          <w:u w:val="none"/>
          <w:lang w:val="en-US" w:eastAsia="zh-CN" w:bidi="ar-SA"/>
        </w:rPr>
        <w:t>在此之前未</w:t>
      </w:r>
      <w:r>
        <w:rPr>
          <w:rFonts w:hint="eastAsia" w:ascii="微软雅黑" w:hAnsi="微软雅黑" w:eastAsia="微软雅黑" w:cs="微软雅黑"/>
          <w:bCs/>
          <w:kern w:val="2"/>
          <w:sz w:val="21"/>
          <w:szCs w:val="21"/>
          <w:u w:val="none"/>
          <w:lang w:val="en-US" w:eastAsia="zh-CN" w:bidi="ar-SA"/>
        </w:rPr>
        <w:t>依法</w:t>
      </w:r>
      <w:r>
        <w:rPr>
          <w:rFonts w:hint="eastAsia" w:ascii="微软雅黑" w:hAnsi="微软雅黑" w:eastAsia="微软雅黑" w:cs="微软雅黑"/>
          <w:bCs/>
          <w:kern w:val="2"/>
          <w:sz w:val="21"/>
          <w:szCs w:val="21"/>
          <w:u w:val="none"/>
          <w:lang w:val="en-US" w:eastAsia="zh-CN" w:bidi="ar-SA"/>
        </w:rPr>
        <w:t>申报，违反《反垄断法》第二十一条，构成</w:t>
      </w:r>
      <w:r>
        <w:rPr>
          <w:rFonts w:hint="eastAsia" w:ascii="微软雅黑" w:hAnsi="微软雅黑" w:eastAsia="微软雅黑" w:cs="微软雅黑"/>
          <w:bCs/>
          <w:kern w:val="2"/>
          <w:sz w:val="21"/>
          <w:szCs w:val="21"/>
          <w:u w:val="none"/>
          <w:lang w:val="en-US" w:eastAsia="zh-CN" w:bidi="ar-SA"/>
        </w:rPr>
        <w:t>未依法申报</w:t>
      </w:r>
      <w:r>
        <w:rPr>
          <w:rFonts w:hint="eastAsia" w:ascii="微软雅黑" w:hAnsi="微软雅黑" w:eastAsia="微软雅黑" w:cs="微软雅黑"/>
          <w:bCs/>
          <w:kern w:val="2"/>
          <w:sz w:val="21"/>
          <w:szCs w:val="21"/>
          <w:u w:val="none"/>
          <w:lang w:val="en-US" w:eastAsia="zh-CN" w:bidi="ar-SA"/>
        </w:rPr>
        <w:t>违法实施</w:t>
      </w:r>
      <w:r>
        <w:rPr>
          <w:rFonts w:hint="eastAsia" w:ascii="微软雅黑" w:hAnsi="微软雅黑" w:eastAsia="微软雅黑" w:cs="微软雅黑"/>
          <w:sz w:val="21"/>
          <w:szCs w:val="21"/>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20"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color w:val="000000"/>
          <w:sz w:val="21"/>
          <w:szCs w:val="21"/>
          <w:lang w:val="en-US" w:eastAsia="zh-CN"/>
        </w:rPr>
        <w:t>龙湖嘉悦</w:t>
      </w:r>
      <w:r>
        <w:rPr>
          <w:rFonts w:hint="eastAsia" w:ascii="微软雅黑" w:hAnsi="微软雅黑" w:eastAsia="微软雅黑" w:cs="微软雅黑"/>
          <w:sz w:val="21"/>
          <w:szCs w:val="21"/>
        </w:rPr>
        <w:t>收购亿达</w:t>
      </w:r>
      <w:r>
        <w:rPr>
          <w:rFonts w:hint="eastAsia" w:ascii="微软雅黑" w:hAnsi="微软雅黑" w:eastAsia="微软雅黑" w:cs="微软雅黑"/>
          <w:sz w:val="21"/>
          <w:szCs w:val="21"/>
          <w:lang w:eastAsia="zh-CN"/>
        </w:rPr>
        <w:t>服务</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基于上述调查情况和评估结论，本机关</w:t>
      </w:r>
      <w:r>
        <w:rPr>
          <w:rFonts w:hint="eastAsia" w:ascii="微软雅黑" w:hAnsi="微软雅黑" w:eastAsia="微软雅黑" w:cs="微软雅黑"/>
          <w:bCs/>
          <w:color w:val="000000"/>
          <w:kern w:val="2"/>
          <w:sz w:val="21"/>
          <w:szCs w:val="21"/>
          <w:lang w:val="en-US" w:eastAsia="zh-CN"/>
        </w:rPr>
        <w:t>决定</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color w:val="000000"/>
          <w:sz w:val="21"/>
          <w:szCs w:val="21"/>
          <w:lang w:val="en-US" w:eastAsia="zh-CN"/>
        </w:rPr>
        <w:t>龙湖嘉悦</w:t>
      </w: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bCs/>
          <w:color w:val="000000"/>
          <w:kern w:val="2"/>
          <w:sz w:val="21"/>
          <w:szCs w:val="21"/>
          <w:lang w:val="en-US" w:eastAsia="zh-CN"/>
        </w:rPr>
        <w:t>0万元</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《行政处罚法》第</w:t>
      </w:r>
      <w:r>
        <w:rPr>
          <w:rFonts w:hint="eastAsia" w:ascii="微软雅黑" w:hAnsi="微软雅黑" w:eastAsia="微软雅黑" w:cs="微软雅黑"/>
          <w:bCs/>
          <w:color w:val="000000"/>
          <w:kern w:val="2"/>
          <w:sz w:val="21"/>
          <w:szCs w:val="21"/>
          <w:lang w:val="en-US" w:eastAsia="zh-CN"/>
        </w:rPr>
        <w:t>六十七</w:t>
      </w:r>
      <w:r>
        <w:rPr>
          <w:rFonts w:hint="eastAsia" w:ascii="微软雅黑" w:hAnsi="微软雅黑" w:eastAsia="微软雅黑" w:cs="微软雅黑"/>
          <w:bCs/>
          <w:color w:val="000000"/>
          <w:kern w:val="2"/>
          <w:sz w:val="21"/>
          <w:szCs w:val="21"/>
        </w:rPr>
        <w:t>条规定</w:t>
      </w:r>
      <w:r>
        <w:rPr>
          <w:rFonts w:hint="eastAsia" w:ascii="微软雅黑" w:hAnsi="微软雅黑" w:eastAsia="微软雅黑" w:cs="微软雅黑"/>
          <w:bCs/>
          <w:color w:val="000000"/>
          <w:kern w:val="2"/>
          <w:sz w:val="21"/>
          <w:szCs w:val="21"/>
          <w:lang w:eastAsia="zh-CN"/>
        </w:rPr>
        <w:t>“</w:t>
      </w:r>
      <w:r>
        <w:rPr>
          <w:rFonts w:hint="eastAsia" w:ascii="微软雅黑" w:hAnsi="微软雅黑" w:eastAsia="微软雅黑" w:cs="微软雅黑"/>
          <w:bCs/>
          <w:color w:val="000000"/>
          <w:kern w:val="2"/>
          <w:sz w:val="21"/>
          <w:szCs w:val="21"/>
          <w:lang w:val="en-US" w:eastAsia="zh-CN"/>
        </w:rPr>
        <w:t>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r>
        <w:rPr>
          <w:rFonts w:hint="eastAsia" w:ascii="微软雅黑" w:hAnsi="微软雅黑" w:eastAsia="微软雅黑" w:cs="微软雅黑"/>
          <w:bCs/>
          <w:color w:val="000000"/>
          <w:kern w:val="2"/>
          <w:sz w:val="21"/>
          <w:szCs w:val="21"/>
          <w:lang w:eastAsia="zh-CN"/>
        </w:rPr>
        <w:t>”。</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应当自收到本行政处罚决定书之日起十五日内，根据本行政处罚决定书，携缴款码到1</w:t>
      </w:r>
      <w:r>
        <w:rPr>
          <w:rFonts w:hint="eastAsia" w:ascii="微软雅黑" w:hAnsi="微软雅黑" w:eastAsia="微软雅黑" w:cs="微软雅黑"/>
          <w:bCs/>
          <w:color w:val="000000"/>
          <w:kern w:val="2"/>
          <w:sz w:val="21"/>
          <w:szCs w:val="21"/>
          <w:lang w:val="en-US" w:eastAsia="zh-CN"/>
        </w:rPr>
        <w:t>5</w:t>
      </w:r>
      <w:r>
        <w:rPr>
          <w:rFonts w:hint="eastAsia" w:ascii="微软雅黑" w:hAnsi="微软雅黑" w:eastAsia="微软雅黑" w:cs="微软雅黑"/>
          <w:bCs/>
          <w:color w:val="000000"/>
          <w:kern w:val="2"/>
          <w:sz w:val="21"/>
          <w:szCs w:val="21"/>
        </w:rPr>
        <w:t>家中央财政非税收入收缴代理银行（工、农、中、建、交、中信、光大、招商、</w:t>
      </w:r>
      <w:r>
        <w:rPr>
          <w:rFonts w:hint="eastAsia" w:ascii="微软雅黑" w:hAnsi="微软雅黑" w:eastAsia="微软雅黑" w:cs="微软雅黑"/>
          <w:bCs/>
          <w:color w:val="000000"/>
          <w:kern w:val="2"/>
          <w:sz w:val="21"/>
          <w:szCs w:val="21"/>
          <w:lang w:eastAsia="zh-CN"/>
        </w:rPr>
        <w:t>民生、</w:t>
      </w:r>
      <w:r>
        <w:rPr>
          <w:rFonts w:hint="eastAsia" w:ascii="微软雅黑" w:hAnsi="微软雅黑" w:eastAsia="微软雅黑" w:cs="微软雅黑"/>
          <w:bCs/>
          <w:color w:val="000000"/>
          <w:kern w:val="2"/>
          <w:sz w:val="21"/>
          <w:szCs w:val="21"/>
        </w:rPr>
        <w:t>邮储、华夏、平安、兴业</w:t>
      </w:r>
      <w:r>
        <w:rPr>
          <w:rFonts w:hint="eastAsia" w:ascii="微软雅黑" w:hAnsi="微软雅黑" w:eastAsia="微软雅黑" w:cs="微软雅黑"/>
          <w:bCs/>
          <w:color w:val="000000"/>
          <w:kern w:val="2"/>
          <w:sz w:val="21"/>
          <w:szCs w:val="21"/>
          <w:lang w:eastAsia="zh-CN"/>
        </w:rPr>
        <w:t>、广发、浙商</w:t>
      </w:r>
      <w:r>
        <w:rPr>
          <w:rFonts w:hint="eastAsia" w:ascii="微软雅黑" w:hAnsi="微软雅黑" w:eastAsia="微软雅黑" w:cs="微软雅黑"/>
          <w:bCs/>
          <w:color w:val="000000"/>
          <w:kern w:val="2"/>
          <w:sz w:val="21"/>
          <w:szCs w:val="21"/>
        </w:rPr>
        <w:t>）任一银行网点或者网上银行缴纳罚款。缴款码</w:t>
      </w:r>
      <w:r>
        <w:rPr>
          <w:rFonts w:hint="eastAsia" w:ascii="微软雅黑" w:hAnsi="微软雅黑" w:eastAsia="微软雅黑" w:cs="微软雅黑"/>
          <w:bCs/>
          <w:color w:val="000000"/>
          <w:kern w:val="2"/>
          <w:sz w:val="21"/>
          <w:szCs w:val="21"/>
          <w:lang w:eastAsia="zh-CN"/>
        </w:rPr>
        <w:t>为</w:t>
      </w:r>
      <w:r>
        <w:rPr>
          <w:rFonts w:hint="eastAsia" w:ascii="微软雅黑" w:hAnsi="微软雅黑" w:eastAsia="微软雅黑" w:cs="微软雅黑"/>
          <w:bCs/>
          <w:color w:val="000000"/>
          <w:kern w:val="2"/>
          <w:sz w:val="21"/>
          <w:szCs w:val="21"/>
        </w:rPr>
        <w:t>：</w:t>
      </w:r>
      <w:r>
        <w:rPr>
          <w:rFonts w:hint="eastAsia" w:ascii="微软雅黑" w:hAnsi="微软雅黑" w:eastAsia="微软雅黑" w:cs="微软雅黑"/>
          <w:bCs/>
          <w:color w:val="000000"/>
          <w:kern w:val="2"/>
          <w:sz w:val="21"/>
          <w:szCs w:val="21"/>
          <w:lang w:val="en-US" w:eastAsia="zh-CN"/>
        </w:rPr>
        <w:t>（略）</w:t>
      </w:r>
      <w:r>
        <w:rPr>
          <w:rFonts w:hint="eastAsia" w:ascii="微软雅黑" w:hAnsi="微软雅黑" w:eastAsia="微软雅黑" w:cs="微软雅黑"/>
          <w:bCs/>
          <w:color w:val="000000"/>
          <w:kern w:val="2"/>
          <w:sz w:val="21"/>
          <w:szCs w:val="21"/>
          <w:lang w:eastAsia="zh-CN"/>
        </w:rPr>
        <w:t>。</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p>
    <w:p>
      <w:pPr>
        <w:keepNext w:val="0"/>
        <w:keepLines w:val="0"/>
        <w:pageBreakBefore w:val="0"/>
        <w:widowControl w:val="0"/>
        <w:kinsoku/>
        <w:wordWrap/>
        <w:topLinePunct w:val="0"/>
        <w:bidi w:val="0"/>
        <w:spacing w:line="594" w:lineRule="exact"/>
        <w:ind w:firstLine="3780" w:firstLineChars="1800"/>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市场监管总局</w:t>
      </w:r>
    </w:p>
    <w:p>
      <w:pPr>
        <w:keepNext w:val="0"/>
        <w:keepLines w:val="0"/>
        <w:pageBreakBefore w:val="0"/>
        <w:widowControl w:val="0"/>
        <w:kinsoku/>
        <w:wordWrap/>
        <w:topLinePunct w:val="0"/>
        <w:bidi w:val="0"/>
        <w:spacing w:line="594" w:lineRule="exact"/>
        <w:ind w:firstLine="3570" w:firstLineChars="1700"/>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202</w:t>
      </w:r>
      <w:r>
        <w:rPr>
          <w:rFonts w:hint="eastAsia" w:ascii="微软雅黑" w:hAnsi="微软雅黑" w:eastAsia="微软雅黑" w:cs="微软雅黑"/>
          <w:bCs/>
          <w:color w:val="000000"/>
          <w:kern w:val="2"/>
          <w:sz w:val="21"/>
          <w:szCs w:val="21"/>
          <w:lang w:val="en-US" w:eastAsia="zh-CN"/>
        </w:rPr>
        <w:t>1</w:t>
      </w:r>
      <w:r>
        <w:rPr>
          <w:rFonts w:hint="eastAsia" w:ascii="微软雅黑" w:hAnsi="微软雅黑" w:eastAsia="微软雅黑" w:cs="微软雅黑"/>
          <w:bCs/>
          <w:color w:val="000000"/>
          <w:kern w:val="2"/>
          <w:sz w:val="21"/>
          <w:szCs w:val="21"/>
        </w:rPr>
        <w:t>年</w:t>
      </w:r>
      <w:r>
        <w:rPr>
          <w:rFonts w:hint="eastAsia" w:ascii="微软雅黑" w:hAnsi="微软雅黑" w:eastAsia="微软雅黑" w:cs="微软雅黑"/>
          <w:bCs/>
          <w:color w:val="000000"/>
          <w:kern w:val="2"/>
          <w:sz w:val="21"/>
          <w:szCs w:val="21"/>
          <w:lang w:val="en-US" w:eastAsia="zh-CN"/>
        </w:rPr>
        <w:t>12</w:t>
      </w:r>
      <w:r>
        <w:rPr>
          <w:rFonts w:hint="eastAsia" w:ascii="微软雅黑" w:hAnsi="微软雅黑" w:eastAsia="微软雅黑" w:cs="微软雅黑"/>
          <w:bCs/>
          <w:color w:val="000000"/>
          <w:kern w:val="2"/>
          <w:sz w:val="21"/>
          <w:szCs w:val="21"/>
        </w:rPr>
        <w:t>月</w:t>
      </w:r>
      <w:r>
        <w:rPr>
          <w:rFonts w:hint="eastAsia" w:ascii="微软雅黑" w:hAnsi="微软雅黑" w:eastAsia="微软雅黑" w:cs="微软雅黑"/>
          <w:bCs/>
          <w:color w:val="000000"/>
          <w:kern w:val="2"/>
          <w:sz w:val="21"/>
          <w:szCs w:val="21"/>
          <w:lang w:val="en-US" w:eastAsia="zh-CN"/>
        </w:rPr>
        <w:t>29</w:t>
      </w:r>
      <w:r>
        <w:rPr>
          <w:rFonts w:hint="eastAsia" w:ascii="微软雅黑" w:hAnsi="微软雅黑" w:eastAsia="微软雅黑" w:cs="微软雅黑"/>
          <w:bCs/>
          <w:color w:val="000000"/>
          <w:kern w:val="2"/>
          <w:sz w:val="21"/>
          <w:szCs w:val="21"/>
        </w:rPr>
        <w:t>日</w:t>
      </w:r>
    </w:p>
    <w:p>
      <w:pPr>
        <w:keepNext w:val="0"/>
        <w:keepLines w:val="0"/>
        <w:pageBreakBefore w:val="0"/>
        <w:widowControl w:val="0"/>
        <w:kinsoku/>
        <w:wordWrap/>
        <w:topLinePunct w:val="0"/>
        <w:bidi w:val="0"/>
        <w:spacing w:line="594" w:lineRule="exact"/>
        <w:ind w:firstLine="645"/>
        <w:jc w:val="both"/>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lang w:eastAsia="zh-CN"/>
        </w:rPr>
        <w:t>（此件公开发布）</w:t>
      </w:r>
    </w:p>
    <w:bookmarkEnd w:id="16"/>
    <w:sectPr>
      <w:footerReference r:id="rId3"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5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25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YAhdUOIBAADCAwAADgAA&#10;AAAAAAABACAAAAAeAQAAZHJzL2Uyb0RvYy54bWxQSwUGAAAAAAYABgBZAQAAcg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0C"/>
    <w:rsid w:val="000073B9"/>
    <w:rsid w:val="00012868"/>
    <w:rsid w:val="000209A5"/>
    <w:rsid w:val="0003166A"/>
    <w:rsid w:val="0005107D"/>
    <w:rsid w:val="000647E4"/>
    <w:rsid w:val="000A7EB0"/>
    <w:rsid w:val="000B0870"/>
    <w:rsid w:val="000B5134"/>
    <w:rsid w:val="000D02B7"/>
    <w:rsid w:val="000F6092"/>
    <w:rsid w:val="0012207C"/>
    <w:rsid w:val="001225D7"/>
    <w:rsid w:val="00132378"/>
    <w:rsid w:val="001327B1"/>
    <w:rsid w:val="00134138"/>
    <w:rsid w:val="001417BC"/>
    <w:rsid w:val="00143E8F"/>
    <w:rsid w:val="00155466"/>
    <w:rsid w:val="00164588"/>
    <w:rsid w:val="001677ED"/>
    <w:rsid w:val="001732A9"/>
    <w:rsid w:val="001819E8"/>
    <w:rsid w:val="00195FF1"/>
    <w:rsid w:val="001A2179"/>
    <w:rsid w:val="001C12EC"/>
    <w:rsid w:val="001C1770"/>
    <w:rsid w:val="001D6713"/>
    <w:rsid w:val="001F4DC8"/>
    <w:rsid w:val="002077A6"/>
    <w:rsid w:val="002326AE"/>
    <w:rsid w:val="002461DC"/>
    <w:rsid w:val="002530EA"/>
    <w:rsid w:val="00262E3F"/>
    <w:rsid w:val="00273E5D"/>
    <w:rsid w:val="0027432E"/>
    <w:rsid w:val="002A3A2C"/>
    <w:rsid w:val="002A539B"/>
    <w:rsid w:val="002A5EA7"/>
    <w:rsid w:val="002B13A6"/>
    <w:rsid w:val="002B36D2"/>
    <w:rsid w:val="002B3813"/>
    <w:rsid w:val="002E1699"/>
    <w:rsid w:val="002E31D8"/>
    <w:rsid w:val="002F0A88"/>
    <w:rsid w:val="00303517"/>
    <w:rsid w:val="00312608"/>
    <w:rsid w:val="00312ADE"/>
    <w:rsid w:val="0031490B"/>
    <w:rsid w:val="003201D7"/>
    <w:rsid w:val="00336432"/>
    <w:rsid w:val="00347652"/>
    <w:rsid w:val="00354CB9"/>
    <w:rsid w:val="0035785C"/>
    <w:rsid w:val="003A03D3"/>
    <w:rsid w:val="003C2972"/>
    <w:rsid w:val="003F3AD2"/>
    <w:rsid w:val="00412FEF"/>
    <w:rsid w:val="00420FF4"/>
    <w:rsid w:val="004257AE"/>
    <w:rsid w:val="004265BF"/>
    <w:rsid w:val="00447CA4"/>
    <w:rsid w:val="004846E4"/>
    <w:rsid w:val="00494109"/>
    <w:rsid w:val="00497349"/>
    <w:rsid w:val="004B2744"/>
    <w:rsid w:val="004D1281"/>
    <w:rsid w:val="004D7494"/>
    <w:rsid w:val="004F68F7"/>
    <w:rsid w:val="00510A44"/>
    <w:rsid w:val="00513515"/>
    <w:rsid w:val="00514196"/>
    <w:rsid w:val="00514EB6"/>
    <w:rsid w:val="00515C02"/>
    <w:rsid w:val="00545777"/>
    <w:rsid w:val="00567696"/>
    <w:rsid w:val="00575A8C"/>
    <w:rsid w:val="00585B1F"/>
    <w:rsid w:val="005A191C"/>
    <w:rsid w:val="005B59F5"/>
    <w:rsid w:val="005C51CE"/>
    <w:rsid w:val="005D1A3D"/>
    <w:rsid w:val="005E2A61"/>
    <w:rsid w:val="005E7741"/>
    <w:rsid w:val="005F1196"/>
    <w:rsid w:val="005F16DB"/>
    <w:rsid w:val="00613330"/>
    <w:rsid w:val="00621999"/>
    <w:rsid w:val="00624317"/>
    <w:rsid w:val="00634F82"/>
    <w:rsid w:val="00641B5E"/>
    <w:rsid w:val="00643B80"/>
    <w:rsid w:val="006746BC"/>
    <w:rsid w:val="00676684"/>
    <w:rsid w:val="00683EAF"/>
    <w:rsid w:val="006859CB"/>
    <w:rsid w:val="00693A9F"/>
    <w:rsid w:val="006A2FC8"/>
    <w:rsid w:val="006C44BB"/>
    <w:rsid w:val="006D48AD"/>
    <w:rsid w:val="006E1ECD"/>
    <w:rsid w:val="006E764B"/>
    <w:rsid w:val="006E7C26"/>
    <w:rsid w:val="006F6DE9"/>
    <w:rsid w:val="00704A35"/>
    <w:rsid w:val="0071410F"/>
    <w:rsid w:val="00717818"/>
    <w:rsid w:val="0072339A"/>
    <w:rsid w:val="00733C7D"/>
    <w:rsid w:val="00741F66"/>
    <w:rsid w:val="007500A0"/>
    <w:rsid w:val="00755232"/>
    <w:rsid w:val="00760E6B"/>
    <w:rsid w:val="00764A62"/>
    <w:rsid w:val="007A1898"/>
    <w:rsid w:val="007A6313"/>
    <w:rsid w:val="007D2C29"/>
    <w:rsid w:val="008021BF"/>
    <w:rsid w:val="00813581"/>
    <w:rsid w:val="008421BF"/>
    <w:rsid w:val="00846868"/>
    <w:rsid w:val="008558D4"/>
    <w:rsid w:val="00865568"/>
    <w:rsid w:val="008704F1"/>
    <w:rsid w:val="00873886"/>
    <w:rsid w:val="008817A8"/>
    <w:rsid w:val="00886424"/>
    <w:rsid w:val="00896118"/>
    <w:rsid w:val="008A4989"/>
    <w:rsid w:val="008A6C67"/>
    <w:rsid w:val="008B4923"/>
    <w:rsid w:val="008D7382"/>
    <w:rsid w:val="008E1508"/>
    <w:rsid w:val="008F1C64"/>
    <w:rsid w:val="00915B99"/>
    <w:rsid w:val="00951A7E"/>
    <w:rsid w:val="00951A93"/>
    <w:rsid w:val="00974725"/>
    <w:rsid w:val="00982B37"/>
    <w:rsid w:val="00983857"/>
    <w:rsid w:val="00983CBF"/>
    <w:rsid w:val="00990F07"/>
    <w:rsid w:val="009A5D67"/>
    <w:rsid w:val="009E56F8"/>
    <w:rsid w:val="009F0F90"/>
    <w:rsid w:val="009F2B15"/>
    <w:rsid w:val="009F6C34"/>
    <w:rsid w:val="00A12785"/>
    <w:rsid w:val="00A22BD4"/>
    <w:rsid w:val="00A25B32"/>
    <w:rsid w:val="00A71A2A"/>
    <w:rsid w:val="00A8174D"/>
    <w:rsid w:val="00A83120"/>
    <w:rsid w:val="00A9380D"/>
    <w:rsid w:val="00A940F6"/>
    <w:rsid w:val="00AC1EFA"/>
    <w:rsid w:val="00AE2FE7"/>
    <w:rsid w:val="00AF7389"/>
    <w:rsid w:val="00B01D59"/>
    <w:rsid w:val="00B03EF4"/>
    <w:rsid w:val="00B20C0C"/>
    <w:rsid w:val="00B2370B"/>
    <w:rsid w:val="00B2528F"/>
    <w:rsid w:val="00B25965"/>
    <w:rsid w:val="00B3179B"/>
    <w:rsid w:val="00B46989"/>
    <w:rsid w:val="00B471C4"/>
    <w:rsid w:val="00B57008"/>
    <w:rsid w:val="00B57AAE"/>
    <w:rsid w:val="00B662BE"/>
    <w:rsid w:val="00B74F3C"/>
    <w:rsid w:val="00BA0DE9"/>
    <w:rsid w:val="00BB312F"/>
    <w:rsid w:val="00BC7C19"/>
    <w:rsid w:val="00BD1C62"/>
    <w:rsid w:val="00BD3884"/>
    <w:rsid w:val="00BE7DB3"/>
    <w:rsid w:val="00BF4AE5"/>
    <w:rsid w:val="00C11894"/>
    <w:rsid w:val="00C14186"/>
    <w:rsid w:val="00C4759D"/>
    <w:rsid w:val="00C50842"/>
    <w:rsid w:val="00C5344B"/>
    <w:rsid w:val="00C5555E"/>
    <w:rsid w:val="00C707E1"/>
    <w:rsid w:val="00C8010C"/>
    <w:rsid w:val="00C93B1D"/>
    <w:rsid w:val="00C94CF8"/>
    <w:rsid w:val="00C96A6D"/>
    <w:rsid w:val="00C97113"/>
    <w:rsid w:val="00CC0CEA"/>
    <w:rsid w:val="00CC42B2"/>
    <w:rsid w:val="00CE0B69"/>
    <w:rsid w:val="00CE3FDA"/>
    <w:rsid w:val="00CF509E"/>
    <w:rsid w:val="00D07A84"/>
    <w:rsid w:val="00D116C7"/>
    <w:rsid w:val="00D15B8A"/>
    <w:rsid w:val="00D22BE7"/>
    <w:rsid w:val="00D47F69"/>
    <w:rsid w:val="00D5632F"/>
    <w:rsid w:val="00D72770"/>
    <w:rsid w:val="00D741CA"/>
    <w:rsid w:val="00DC47C6"/>
    <w:rsid w:val="00DE0689"/>
    <w:rsid w:val="00DE06BB"/>
    <w:rsid w:val="00DE3C06"/>
    <w:rsid w:val="00E62D54"/>
    <w:rsid w:val="00E84557"/>
    <w:rsid w:val="00E84BF1"/>
    <w:rsid w:val="00E91793"/>
    <w:rsid w:val="00E97449"/>
    <w:rsid w:val="00EA1051"/>
    <w:rsid w:val="00EB3A4B"/>
    <w:rsid w:val="00ED2618"/>
    <w:rsid w:val="00EE1034"/>
    <w:rsid w:val="00EF51BA"/>
    <w:rsid w:val="00EF755A"/>
    <w:rsid w:val="00F00E53"/>
    <w:rsid w:val="00F037ED"/>
    <w:rsid w:val="00F34840"/>
    <w:rsid w:val="00F36735"/>
    <w:rsid w:val="00F418C4"/>
    <w:rsid w:val="00F41D23"/>
    <w:rsid w:val="00F47FD5"/>
    <w:rsid w:val="00F832FC"/>
    <w:rsid w:val="00F91C5A"/>
    <w:rsid w:val="00FA2B45"/>
    <w:rsid w:val="00FA3F61"/>
    <w:rsid w:val="00FD4CB1"/>
    <w:rsid w:val="00FE6BBC"/>
    <w:rsid w:val="00FE6E91"/>
    <w:rsid w:val="00FF2461"/>
    <w:rsid w:val="00FF247D"/>
    <w:rsid w:val="00FF3787"/>
    <w:rsid w:val="012D5403"/>
    <w:rsid w:val="03874E1E"/>
    <w:rsid w:val="039E50A5"/>
    <w:rsid w:val="04710E9B"/>
    <w:rsid w:val="05541E53"/>
    <w:rsid w:val="05EC04C6"/>
    <w:rsid w:val="091B0D1E"/>
    <w:rsid w:val="09976D0C"/>
    <w:rsid w:val="0C1667C0"/>
    <w:rsid w:val="0C964A3A"/>
    <w:rsid w:val="0C9E128A"/>
    <w:rsid w:val="0D9F00E3"/>
    <w:rsid w:val="0F864CDA"/>
    <w:rsid w:val="10F073FF"/>
    <w:rsid w:val="162406D3"/>
    <w:rsid w:val="17B60510"/>
    <w:rsid w:val="18DC4B0C"/>
    <w:rsid w:val="1B514D72"/>
    <w:rsid w:val="1B9C1E7C"/>
    <w:rsid w:val="1C15236D"/>
    <w:rsid w:val="1C372321"/>
    <w:rsid w:val="1D5E493F"/>
    <w:rsid w:val="1EBC71CC"/>
    <w:rsid w:val="209D6B08"/>
    <w:rsid w:val="20D42AE6"/>
    <w:rsid w:val="22A535B0"/>
    <w:rsid w:val="23010EEB"/>
    <w:rsid w:val="2467287F"/>
    <w:rsid w:val="25835D2F"/>
    <w:rsid w:val="265E4A2A"/>
    <w:rsid w:val="27843DD5"/>
    <w:rsid w:val="278D5F03"/>
    <w:rsid w:val="2AF76152"/>
    <w:rsid w:val="2F6C6F78"/>
    <w:rsid w:val="2FA90555"/>
    <w:rsid w:val="30106EF4"/>
    <w:rsid w:val="30121F86"/>
    <w:rsid w:val="31A95159"/>
    <w:rsid w:val="3664151B"/>
    <w:rsid w:val="36A21023"/>
    <w:rsid w:val="36DB70FE"/>
    <w:rsid w:val="379346F1"/>
    <w:rsid w:val="37AC0ADE"/>
    <w:rsid w:val="39CE37FD"/>
    <w:rsid w:val="3A145027"/>
    <w:rsid w:val="3A176F87"/>
    <w:rsid w:val="3C113B3B"/>
    <w:rsid w:val="3C3B311B"/>
    <w:rsid w:val="3CE71F92"/>
    <w:rsid w:val="3EF636FC"/>
    <w:rsid w:val="3FC61702"/>
    <w:rsid w:val="40432051"/>
    <w:rsid w:val="40B2096A"/>
    <w:rsid w:val="419F54F2"/>
    <w:rsid w:val="432B7BAC"/>
    <w:rsid w:val="4449698F"/>
    <w:rsid w:val="44531183"/>
    <w:rsid w:val="46D754DB"/>
    <w:rsid w:val="484268A0"/>
    <w:rsid w:val="49556857"/>
    <w:rsid w:val="49FE60F3"/>
    <w:rsid w:val="4ACC368A"/>
    <w:rsid w:val="4D19468D"/>
    <w:rsid w:val="4E226115"/>
    <w:rsid w:val="4FF275F4"/>
    <w:rsid w:val="53211865"/>
    <w:rsid w:val="534963B9"/>
    <w:rsid w:val="53616393"/>
    <w:rsid w:val="541316F7"/>
    <w:rsid w:val="54356A67"/>
    <w:rsid w:val="546F323D"/>
    <w:rsid w:val="5526148C"/>
    <w:rsid w:val="56985D6B"/>
    <w:rsid w:val="56CE2E2B"/>
    <w:rsid w:val="58D96A94"/>
    <w:rsid w:val="58E70FA8"/>
    <w:rsid w:val="5A154624"/>
    <w:rsid w:val="5B0428E9"/>
    <w:rsid w:val="5BF17393"/>
    <w:rsid w:val="5F3E130C"/>
    <w:rsid w:val="5FF40145"/>
    <w:rsid w:val="5FF756A6"/>
    <w:rsid w:val="60043225"/>
    <w:rsid w:val="60F10E6A"/>
    <w:rsid w:val="6160374D"/>
    <w:rsid w:val="622927FF"/>
    <w:rsid w:val="62AE3071"/>
    <w:rsid w:val="631D782F"/>
    <w:rsid w:val="63A83B6B"/>
    <w:rsid w:val="65045474"/>
    <w:rsid w:val="65180E75"/>
    <w:rsid w:val="659352C2"/>
    <w:rsid w:val="65DB4174"/>
    <w:rsid w:val="66B150E5"/>
    <w:rsid w:val="689625B2"/>
    <w:rsid w:val="6963108B"/>
    <w:rsid w:val="69B61531"/>
    <w:rsid w:val="69DE6E15"/>
    <w:rsid w:val="6D7A31DA"/>
    <w:rsid w:val="6DF37F1F"/>
    <w:rsid w:val="6EB46B2A"/>
    <w:rsid w:val="6F09650B"/>
    <w:rsid w:val="6F0C53D4"/>
    <w:rsid w:val="6F5B3F88"/>
    <w:rsid w:val="717415C9"/>
    <w:rsid w:val="787B165E"/>
    <w:rsid w:val="79432195"/>
    <w:rsid w:val="7B006C63"/>
    <w:rsid w:val="7B3D38DB"/>
    <w:rsid w:val="7C155045"/>
    <w:rsid w:val="7C911BC6"/>
    <w:rsid w:val="7CC91C1E"/>
    <w:rsid w:val="7DA357E0"/>
    <w:rsid w:val="7EAFEB59"/>
    <w:rsid w:val="7EDB39F1"/>
    <w:rsid w:val="7FBF8064"/>
    <w:rsid w:val="B3DF2CB3"/>
    <w:rsid w:val="B7CFF2CD"/>
    <w:rsid w:val="BF7ED197"/>
    <w:rsid w:val="BF7FB5E9"/>
    <w:rsid w:val="CDCB88D1"/>
    <w:rsid w:val="DBBF0C6E"/>
    <w:rsid w:val="DCE9E51F"/>
    <w:rsid w:val="EE7FC830"/>
    <w:rsid w:val="EF7AD703"/>
    <w:rsid w:val="F7BFB506"/>
    <w:rsid w:val="FBE7A213"/>
    <w:rsid w:val="FBFD8E93"/>
    <w:rsid w:val="FEDF3588"/>
    <w:rsid w:val="FFD31427"/>
    <w:rsid w:val="FFF6AD54"/>
    <w:rsid w:val="FFF99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
    <w:qFormat/>
    <w:uiPriority w:val="0"/>
    <w:pPr>
      <w:spacing w:after="156" w:afterLines="50" w:line="640" w:lineRule="exact"/>
      <w:jc w:val="center"/>
      <w:outlineLvl w:val="0"/>
    </w:pPr>
    <w:rPr>
      <w:rFonts w:ascii="方正小标宋简体" w:hAnsi="Times New Roman" w:eastAsia="方正小标宋简体"/>
      <w:kern w:val="0"/>
      <w:sz w:val="44"/>
      <w:szCs w:val="36"/>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4">
    <w:name w:val="Normal Indent"/>
    <w:basedOn w:val="1"/>
    <w:qFormat/>
    <w:uiPriority w:val="0"/>
    <w:pPr>
      <w:spacing w:line="360" w:lineRule="exact"/>
      <w:ind w:firstLine="420" w:firstLineChars="200"/>
    </w:pPr>
    <w:rPr>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basedOn w:val="8"/>
    <w:link w:val="3"/>
    <w:qFormat/>
    <w:uiPriority w:val="0"/>
    <w:rPr>
      <w:rFonts w:ascii="方正小标宋简体" w:hAnsi="Times New Roman" w:eastAsia="方正小标宋简体"/>
      <w:sz w:val="44"/>
      <w:szCs w:val="36"/>
    </w:rPr>
  </w:style>
  <w:style w:type="character" w:customStyle="1" w:styleId="11">
    <w:name w:val="页脚 Char"/>
    <w:basedOn w:val="8"/>
    <w:link w:val="5"/>
    <w:semiHidden/>
    <w:qFormat/>
    <w:uiPriority w:val="99"/>
    <w:rPr>
      <w:sz w:val="18"/>
      <w:szCs w:val="18"/>
    </w:rPr>
  </w:style>
  <w:style w:type="character" w:customStyle="1" w:styleId="12">
    <w:name w:val="页眉 Char"/>
    <w:basedOn w:val="8"/>
    <w:link w:val="6"/>
    <w:semiHidden/>
    <w:qFormat/>
    <w:uiPriority w:val="99"/>
    <w:rPr>
      <w:sz w:val="18"/>
      <w:szCs w:val="18"/>
    </w:rPr>
  </w:style>
  <w:style w:type="character" w:customStyle="1" w:styleId="13">
    <w:name w:val="内容 Char"/>
    <w:basedOn w:val="8"/>
    <w:link w:val="14"/>
    <w:qFormat/>
    <w:uiPriority w:val="0"/>
    <w:rPr>
      <w:rFonts w:ascii="仿宋_GB2312" w:hAnsi="仿宋_GB2312" w:eastAsia="仿宋_GB2312"/>
      <w:kern w:val="2"/>
      <w:sz w:val="32"/>
      <w:szCs w:val="32"/>
    </w:rPr>
  </w:style>
  <w:style w:type="paragraph" w:customStyle="1" w:styleId="14">
    <w:name w:val="内容"/>
    <w:basedOn w:val="1"/>
    <w:link w:val="13"/>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1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1100</Characters>
  <Lines>9</Lines>
  <Paragraphs>2</Paragraphs>
  <TotalTime>3</TotalTime>
  <ScaleCrop>false</ScaleCrop>
  <LinksUpToDate>false</LinksUpToDate>
  <CharactersWithSpaces>1290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2019-12-15T10:45:00Z</dcterms:created>
  <dc:creator>赵莉莉</dc:creator>
  <cp:lastModifiedBy>陈永仁</cp:lastModifiedBy>
  <cp:lastPrinted>2021-05-14T13:41:00Z</cp:lastPrinted>
  <dcterms:modified xsi:type="dcterms:W3CDTF">2021-12-30T09:13:14Z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E2B7D6E48183405B8F9CF9799E92B934</vt:lpwstr>
  </property>
</Properties>
</file>