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bCs/>
          <w:color w:val="000000"/>
          <w:kern w:val="2"/>
          <w:sz w:val="21"/>
          <w:szCs w:val="21"/>
        </w:rPr>
      </w:pPr>
      <w:bookmarkStart w:id="1" w:name="_GoBack"/>
      <w:r>
        <w:rPr>
          <w:rFonts w:hint="eastAsia" w:ascii="微软雅黑" w:hAnsi="微软雅黑" w:eastAsia="微软雅黑" w:cs="微软雅黑"/>
          <w:bCs/>
          <w:color w:val="000000"/>
          <w:spacing w:val="202"/>
          <w:kern w:val="0"/>
          <w:sz w:val="21"/>
          <w:szCs w:val="21"/>
          <w:fitText w:val="5742" w:id="972384512"/>
        </w:rPr>
        <w:t>国家市场监督管理总</w:t>
      </w:r>
      <w:r>
        <w:rPr>
          <w:rFonts w:hint="eastAsia" w:ascii="微软雅黑" w:hAnsi="微软雅黑" w:eastAsia="微软雅黑" w:cs="微软雅黑"/>
          <w:bCs/>
          <w:color w:val="000000"/>
          <w:spacing w:val="3"/>
          <w:kern w:val="0"/>
          <w:sz w:val="21"/>
          <w:szCs w:val="21"/>
          <w:fitText w:val="5742" w:id="972384512"/>
        </w:rPr>
        <w:t>局</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color w:val="000000"/>
          <w:kern w:val="2"/>
          <w:sz w:val="21"/>
          <w:szCs w:val="21"/>
        </w:rPr>
      </w:pPr>
      <w:r>
        <w:rPr>
          <w:rFonts w:hint="eastAsia" w:ascii="微软雅黑" w:hAnsi="微软雅黑" w:eastAsia="微软雅黑" w:cs="微软雅黑"/>
          <w:bCs/>
          <w:color w:val="000000"/>
          <w:spacing w:val="356"/>
          <w:kern w:val="0"/>
          <w:sz w:val="21"/>
          <w:szCs w:val="21"/>
          <w:fitText w:val="5742" w:id="1"/>
        </w:rPr>
        <w:t>行政处罚决定</w:t>
      </w:r>
      <w:r>
        <w:rPr>
          <w:rFonts w:hint="eastAsia" w:ascii="微软雅黑" w:hAnsi="微软雅黑" w:eastAsia="微软雅黑" w:cs="微软雅黑"/>
          <w:bCs/>
          <w:color w:val="000000"/>
          <w:spacing w:val="0"/>
          <w:kern w:val="0"/>
          <w:sz w:val="21"/>
          <w:szCs w:val="21"/>
          <w:fitText w:val="5742" w:id="1"/>
        </w:rPr>
        <w:t>书</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国市监处</w:t>
      </w:r>
      <w:r>
        <w:rPr>
          <w:rFonts w:hint="eastAsia" w:ascii="微软雅黑" w:hAnsi="微软雅黑" w:eastAsia="微软雅黑" w:cs="微软雅黑"/>
          <w:kern w:val="2"/>
          <w:sz w:val="21"/>
          <w:szCs w:val="21"/>
          <w:lang w:eastAsia="zh-CN"/>
        </w:rPr>
        <w:t>罚</w:t>
      </w: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w:t>
      </w:r>
      <w:r>
        <w:rPr>
          <w:rFonts w:hint="eastAsia" w:ascii="微软雅黑" w:hAnsi="微软雅黑" w:eastAsia="微软雅黑" w:cs="微软雅黑"/>
          <w:kern w:val="2"/>
          <w:sz w:val="21"/>
          <w:szCs w:val="21"/>
          <w:lang w:val="en-US" w:eastAsia="zh-CN"/>
        </w:rPr>
        <w:t>108</w:t>
      </w:r>
      <w:r>
        <w:rPr>
          <w:rFonts w:hint="eastAsia" w:ascii="微软雅黑" w:hAnsi="微软雅黑" w:eastAsia="微软雅黑" w:cs="微软雅黑"/>
          <w:kern w:val="2"/>
          <w:sz w:val="21"/>
          <w:szCs w:val="21"/>
        </w:rPr>
        <w:t>号</w:t>
      </w:r>
    </w:p>
    <w:p>
      <w:pPr>
        <w:keepNext w:val="0"/>
        <w:keepLines w:val="0"/>
        <w:pageBreakBefore w:val="0"/>
        <w:widowControl w:val="0"/>
        <w:kinsoku/>
        <w:wordWrap/>
        <w:topLinePunct w:val="0"/>
        <w:bidi w:val="0"/>
        <w:spacing w:line="580" w:lineRule="exact"/>
        <w:jc w:val="center"/>
        <w:textAlignment w:val="auto"/>
        <w:rPr>
          <w:rFonts w:hint="eastAsia" w:ascii="微软雅黑" w:hAnsi="微软雅黑" w:eastAsia="微软雅黑" w:cs="微软雅黑"/>
          <w:kern w:val="2"/>
          <w:sz w:val="21"/>
          <w:szCs w:val="21"/>
        </w:rPr>
      </w:pPr>
    </w:p>
    <w:p>
      <w:pPr>
        <w:pStyle w:val="2"/>
        <w:ind w:left="0" w:leftChars="0" w:firstLine="402" w:firstLineChars="197"/>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val="en-US" w:eastAsia="zh-CN"/>
        </w:rPr>
        <w:t>中华联合保险集团股份有限公司</w:t>
      </w:r>
    </w:p>
    <w:p>
      <w:pPr>
        <w:pStyle w:val="2"/>
        <w:ind w:left="0" w:leftChars="0" w:firstLine="402" w:firstLineChars="197"/>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lang w:val="en-US" w:eastAsia="zh-CN"/>
        </w:rPr>
        <w:t>北京市丰台区凤凰嘴街3号院1号楼</w:t>
      </w:r>
      <w:r>
        <w:rPr>
          <w:rFonts w:hint="eastAsia" w:ascii="微软雅黑" w:hAnsi="微软雅黑" w:eastAsia="微软雅黑" w:cs="微软雅黑"/>
          <w:sz w:val="21"/>
          <w:szCs w:val="21"/>
          <w:lang w:val="en-US" w:eastAsia="zh-CN"/>
        </w:rPr>
        <w:t xml:space="preserve"> </w:t>
      </w:r>
    </w:p>
    <w:p>
      <w:pPr>
        <w:pStyle w:val="2"/>
        <w:ind w:left="0" w:leftChars="0" w:firstLine="402" w:firstLineChars="197"/>
        <w:rPr>
          <w:rFonts w:hint="eastAsia" w:ascii="微软雅黑" w:hAnsi="微软雅黑" w:eastAsia="微软雅黑" w:cs="微软雅黑"/>
          <w:sz w:val="21"/>
          <w:szCs w:val="21"/>
          <w:lang w:val="en-US" w:eastAsia="zh-CN"/>
        </w:rPr>
      </w:pPr>
      <w:r>
        <w:rPr>
          <w:rFonts w:hint="eastAsia" w:ascii="微软雅黑" w:hAnsi="微软雅黑" w:eastAsia="微软雅黑" w:cs="微软雅黑"/>
          <w:kern w:val="2"/>
          <w:sz w:val="21"/>
          <w:szCs w:val="21"/>
        </w:rPr>
        <w:t>当事人：</w:t>
      </w:r>
      <w:r>
        <w:rPr>
          <w:rFonts w:hint="eastAsia" w:ascii="微软雅黑" w:hAnsi="微软雅黑" w:eastAsia="微软雅黑" w:cs="微软雅黑"/>
          <w:sz w:val="21"/>
          <w:szCs w:val="21"/>
          <w:lang w:val="en-US" w:eastAsia="zh-CN"/>
        </w:rPr>
        <w:t>上海云鑫创业投资有限公司</w:t>
      </w:r>
    </w:p>
    <w:p>
      <w:pPr>
        <w:pStyle w:val="2"/>
        <w:ind w:left="0" w:leftChars="0" w:firstLine="402" w:firstLineChars="197"/>
        <w:rPr>
          <w:rFonts w:hint="eastAsia" w:ascii="微软雅黑" w:hAnsi="微软雅黑" w:eastAsia="微软雅黑" w:cs="微软雅黑"/>
          <w:kern w:val="2"/>
          <w:sz w:val="21"/>
          <w:szCs w:val="21"/>
          <w:lang w:val="en-US" w:eastAsia="zh-CN"/>
        </w:rPr>
      </w:pPr>
      <w:r>
        <w:rPr>
          <w:rFonts w:hint="eastAsia" w:ascii="微软雅黑" w:hAnsi="微软雅黑" w:eastAsia="微软雅黑" w:cs="微软雅黑"/>
          <w:kern w:val="2"/>
          <w:sz w:val="21"/>
          <w:szCs w:val="21"/>
        </w:rPr>
        <w:t>住  所：</w:t>
      </w:r>
      <w:r>
        <w:rPr>
          <w:rFonts w:hint="eastAsia" w:ascii="微软雅黑" w:hAnsi="微软雅黑" w:eastAsia="微软雅黑" w:cs="微软雅黑"/>
          <w:sz w:val="21"/>
          <w:szCs w:val="21"/>
          <w:lang w:val="en-US" w:eastAsia="zh-CN"/>
        </w:rPr>
        <w:t>上海市黄浦区蒙自路207号13号楼419室</w:t>
      </w:r>
    </w:p>
    <w:p>
      <w:pPr>
        <w:pStyle w:val="2"/>
        <w:rPr>
          <w:rFonts w:hint="eastAsia" w:ascii="微软雅黑" w:hAnsi="微软雅黑" w:eastAsia="微软雅黑" w:cs="微软雅黑"/>
          <w:sz w:val="21"/>
          <w:szCs w:val="21"/>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sz w:val="21"/>
          <w:szCs w:val="21"/>
          <w:lang w:eastAsia="zh-CN"/>
        </w:rPr>
        <w:t>根据《中华人民共和国反垄断法》（以下简称《反垄断法》）《经营者集中审查暂行规定》，本机关于</w:t>
      </w:r>
      <w:r>
        <w:rPr>
          <w:rFonts w:hint="eastAsia" w:ascii="微软雅黑" w:hAnsi="微软雅黑" w:eastAsia="微软雅黑" w:cs="微软雅黑"/>
          <w:sz w:val="21"/>
          <w:szCs w:val="21"/>
          <w:lang w:val="en-US" w:eastAsia="zh-CN"/>
        </w:rPr>
        <w:t>2021年</w:t>
      </w:r>
      <w:r>
        <w:rPr>
          <w:rFonts w:hint="eastAsia" w:ascii="微软雅黑" w:hAnsi="微软雅黑" w:eastAsia="微软雅黑" w:cs="微软雅黑"/>
          <w:color w:val="auto"/>
          <w:sz w:val="21"/>
          <w:szCs w:val="21"/>
          <w:lang w:val="en-US" w:eastAsia="zh-CN"/>
        </w:rPr>
        <w:t>8</w:t>
      </w:r>
      <w:r>
        <w:rPr>
          <w:rFonts w:hint="eastAsia" w:ascii="微软雅黑" w:hAnsi="微软雅黑" w:eastAsia="微软雅黑" w:cs="微软雅黑"/>
          <w:color w:val="auto"/>
          <w:sz w:val="21"/>
          <w:szCs w:val="21"/>
          <w:lang w:val="en-US" w:eastAsia="zh-CN"/>
        </w:rPr>
        <w:t>月1</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lang w:val="en-US" w:eastAsia="zh-CN"/>
        </w:rPr>
        <w:t>日</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rPr>
        <w:t>中华联合保险集团股份有限公司（以下简称中华保险）和上海云鑫创业投资有限公司（以下简称上海云鑫）设立合营企业</w:t>
      </w:r>
      <w:r>
        <w:rPr>
          <w:rFonts w:hint="eastAsia" w:ascii="微软雅黑" w:hAnsi="微软雅黑" w:eastAsia="微软雅黑" w:cs="微软雅黑"/>
          <w:sz w:val="21"/>
          <w:szCs w:val="21"/>
        </w:rPr>
        <w:t>涉嫌</w:t>
      </w:r>
      <w:r>
        <w:rPr>
          <w:rFonts w:hint="eastAsia" w:ascii="微软雅黑" w:hAnsi="微软雅黑" w:eastAsia="微软雅黑" w:cs="微软雅黑"/>
          <w:sz w:val="21"/>
          <w:szCs w:val="21"/>
          <w:lang w:eastAsia="zh-CN"/>
        </w:rPr>
        <w:t>未依法申报</w:t>
      </w:r>
      <w:r>
        <w:rPr>
          <w:rFonts w:hint="eastAsia" w:ascii="微软雅黑" w:hAnsi="微软雅黑" w:eastAsia="微软雅黑" w:cs="微软雅黑"/>
          <w:sz w:val="21"/>
          <w:szCs w:val="21"/>
        </w:rPr>
        <w:t>违法实施经营者集中案</w:t>
      </w:r>
      <w:r>
        <w:rPr>
          <w:rFonts w:hint="eastAsia" w:ascii="微软雅黑" w:hAnsi="微软雅黑" w:eastAsia="微软雅黑" w:cs="微软雅黑"/>
          <w:kern w:val="2"/>
          <w:sz w:val="21"/>
          <w:szCs w:val="21"/>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经查，该案构成</w:t>
      </w:r>
      <w:r>
        <w:rPr>
          <w:rFonts w:hint="eastAsia" w:ascii="微软雅黑" w:hAnsi="微软雅黑" w:eastAsia="微软雅黑" w:cs="微软雅黑"/>
          <w:kern w:val="2"/>
          <w:sz w:val="21"/>
          <w:szCs w:val="21"/>
          <w:lang w:eastAsia="zh-CN"/>
        </w:rPr>
        <w:t>未依法申报</w:t>
      </w:r>
      <w:r>
        <w:rPr>
          <w:rFonts w:hint="eastAsia" w:ascii="微软雅黑" w:hAnsi="微软雅黑" w:eastAsia="微软雅黑" w:cs="微软雅黑"/>
          <w:kern w:val="2"/>
          <w:sz w:val="21"/>
          <w:szCs w:val="21"/>
        </w:rPr>
        <w:t>违法实施的经营者集中，但不具有排除、限制竞争的效果。本机关按照《</w:t>
      </w:r>
      <w:r>
        <w:rPr>
          <w:rFonts w:hint="eastAsia" w:ascii="微软雅黑" w:hAnsi="微软雅黑" w:eastAsia="微软雅黑" w:cs="微软雅黑"/>
          <w:kern w:val="2"/>
          <w:sz w:val="21"/>
          <w:szCs w:val="21"/>
          <w:lang w:eastAsia="zh-CN"/>
        </w:rPr>
        <w:t>中华人民共和国</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（以下简称</w:t>
      </w:r>
      <w:r>
        <w:rPr>
          <w:rFonts w:hint="eastAsia" w:ascii="微软雅黑" w:hAnsi="微软雅黑" w:eastAsia="微软雅黑" w:cs="微软雅黑"/>
          <w:kern w:val="2"/>
          <w:sz w:val="21"/>
          <w:szCs w:val="21"/>
        </w:rPr>
        <w:t>《行政处罚法》</w:t>
      </w:r>
      <w:r>
        <w:rPr>
          <w:rFonts w:hint="eastAsia" w:ascii="微软雅黑" w:hAnsi="微软雅黑" w:eastAsia="微软雅黑" w:cs="微软雅黑"/>
          <w:sz w:val="21"/>
          <w:szCs w:val="21"/>
          <w:lang w:eastAsia="zh-CN"/>
        </w:rPr>
        <w:t>）</w:t>
      </w:r>
      <w:r>
        <w:rPr>
          <w:rFonts w:hint="eastAsia" w:ascii="微软雅黑" w:hAnsi="微软雅黑" w:eastAsia="微软雅黑" w:cs="微软雅黑"/>
          <w:kern w:val="2"/>
          <w:sz w:val="21"/>
          <w:szCs w:val="21"/>
        </w:rPr>
        <w:t>的规定，向</w:t>
      </w:r>
      <w:r>
        <w:rPr>
          <w:rFonts w:hint="eastAsia" w:ascii="微软雅黑" w:hAnsi="微软雅黑" w:eastAsia="微软雅黑" w:cs="微软雅黑"/>
          <w:sz w:val="21"/>
          <w:szCs w:val="21"/>
        </w:rPr>
        <w:t>中华保险</w:t>
      </w:r>
      <w:r>
        <w:rPr>
          <w:rFonts w:hint="eastAsia" w:ascii="微软雅黑" w:hAnsi="微软雅黑" w:eastAsia="微软雅黑" w:cs="微软雅黑"/>
          <w:sz w:val="21"/>
          <w:szCs w:val="21"/>
          <w:lang w:eastAsia="zh-CN"/>
        </w:rPr>
        <w:t>和</w:t>
      </w:r>
      <w:r>
        <w:rPr>
          <w:rFonts w:hint="eastAsia" w:ascii="微软雅黑" w:hAnsi="微软雅黑" w:eastAsia="微软雅黑" w:cs="微软雅黑"/>
          <w:sz w:val="21"/>
          <w:szCs w:val="21"/>
        </w:rPr>
        <w:t>上海云鑫</w:t>
      </w:r>
      <w:r>
        <w:rPr>
          <w:rFonts w:hint="eastAsia" w:ascii="微软雅黑" w:hAnsi="微软雅黑" w:eastAsia="微软雅黑" w:cs="微软雅黑"/>
          <w:kern w:val="2"/>
          <w:sz w:val="21"/>
          <w:szCs w:val="21"/>
        </w:rPr>
        <w:t>送达了《行政处罚告知书》，告知当事人拟作出的行政处罚内容及事实、理由、依据，并告知当事人依法享有的陈述、申辩、要求听证的权利。</w:t>
      </w:r>
      <w:r>
        <w:rPr>
          <w:rFonts w:hint="eastAsia" w:ascii="微软雅黑" w:hAnsi="微软雅黑" w:eastAsia="微软雅黑" w:cs="微软雅黑"/>
          <w:sz w:val="21"/>
          <w:szCs w:val="21"/>
        </w:rPr>
        <w:t>中华保险</w:t>
      </w:r>
      <w:r>
        <w:rPr>
          <w:rFonts w:hint="eastAsia" w:ascii="微软雅黑" w:hAnsi="微软雅黑" w:eastAsia="微软雅黑" w:cs="微软雅黑"/>
          <w:sz w:val="21"/>
          <w:szCs w:val="21"/>
          <w:lang w:eastAsia="zh-CN"/>
        </w:rPr>
        <w:t>和</w:t>
      </w:r>
      <w:r>
        <w:rPr>
          <w:rFonts w:hint="eastAsia" w:ascii="微软雅黑" w:hAnsi="微软雅黑" w:eastAsia="微软雅黑" w:cs="微软雅黑"/>
          <w:sz w:val="21"/>
          <w:szCs w:val="21"/>
        </w:rPr>
        <w:t>上海云鑫</w:t>
      </w:r>
      <w:r>
        <w:rPr>
          <w:rFonts w:hint="eastAsia" w:ascii="微软雅黑" w:hAnsi="微软雅黑" w:eastAsia="微软雅黑" w:cs="微软雅黑"/>
          <w:kern w:val="2"/>
          <w:sz w:val="21"/>
          <w:szCs w:val="21"/>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（一）交易方。</w:t>
      </w:r>
    </w:p>
    <w:p>
      <w:pPr>
        <w:pageBreakBefore w:val="0"/>
        <w:kinsoku/>
        <w:wordWrap/>
        <w:topLinePunct w:val="0"/>
        <w:bidi w:val="0"/>
        <w:spacing w:line="600" w:lineRule="exact"/>
        <w:ind w:firstLine="408" w:firstLineChars="200"/>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b/>
          <w:bCs w:val="0"/>
          <w:sz w:val="21"/>
          <w:szCs w:val="21"/>
          <w:lang w:eastAsia="zh-CN"/>
        </w:rPr>
        <w:t>合营一</w:t>
      </w:r>
      <w:r>
        <w:rPr>
          <w:rFonts w:hint="eastAsia" w:ascii="微软雅黑" w:hAnsi="微软雅黑" w:eastAsia="微软雅黑" w:cs="微软雅黑"/>
          <w:b/>
          <w:bCs w:val="0"/>
          <w:sz w:val="21"/>
          <w:szCs w:val="21"/>
        </w:rPr>
        <w:t>方：中华保险</w:t>
      </w:r>
      <w:r>
        <w:rPr>
          <w:rFonts w:hint="eastAsia" w:ascii="微软雅黑" w:hAnsi="微软雅黑" w:eastAsia="微软雅黑" w:cs="微软雅黑"/>
          <w:b/>
          <w:bCs w:val="0"/>
          <w:sz w:val="21"/>
          <w:szCs w:val="21"/>
          <w:lang w:eastAsia="zh-CN"/>
        </w:rPr>
        <w:t>。</w:t>
      </w:r>
      <w:r>
        <w:rPr>
          <w:rFonts w:hint="eastAsia" w:ascii="微软雅黑" w:hAnsi="微软雅黑" w:eastAsia="微软雅黑" w:cs="微软雅黑"/>
          <w:bCs/>
          <w:sz w:val="21"/>
          <w:szCs w:val="21"/>
        </w:rPr>
        <w:t>2006年</w:t>
      </w:r>
      <w:r>
        <w:rPr>
          <w:rFonts w:hint="eastAsia" w:ascii="微软雅黑" w:hAnsi="微软雅黑" w:eastAsia="微软雅黑" w:cs="微软雅黑"/>
          <w:bCs/>
          <w:sz w:val="21"/>
          <w:szCs w:val="21"/>
          <w:lang w:eastAsia="zh-CN"/>
        </w:rPr>
        <w:t>在北京</w:t>
      </w:r>
      <w:r>
        <w:rPr>
          <w:rFonts w:hint="eastAsia" w:ascii="微软雅黑" w:hAnsi="微软雅黑" w:eastAsia="微软雅黑" w:cs="微软雅黑"/>
          <w:bCs/>
          <w:sz w:val="21"/>
          <w:szCs w:val="21"/>
          <w:lang w:val="en-US" w:eastAsia="zh-CN"/>
        </w:rPr>
        <w:t>市</w:t>
      </w:r>
      <w:r>
        <w:rPr>
          <w:rFonts w:hint="eastAsia" w:ascii="微软雅黑" w:hAnsi="微软雅黑" w:eastAsia="微软雅黑" w:cs="微软雅黑"/>
          <w:bCs/>
          <w:sz w:val="21"/>
          <w:szCs w:val="21"/>
        </w:rPr>
        <w:t>注册成立，最终控制人是中国东方资产管理股份有限公司，中华保险主营业务包括投资设立保险企业</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rPr>
        <w:t>监管控股投资企业的国内国际业务</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rPr>
        <w:t>投资</w:t>
      </w:r>
      <w:r>
        <w:rPr>
          <w:rFonts w:hint="eastAsia" w:ascii="微软雅黑" w:hAnsi="微软雅黑" w:eastAsia="微软雅黑" w:cs="微软雅黑"/>
          <w:bCs/>
          <w:sz w:val="21"/>
          <w:szCs w:val="21"/>
          <w:lang w:eastAsia="zh-CN"/>
        </w:rPr>
        <w:t>和</w:t>
      </w:r>
      <w:r>
        <w:rPr>
          <w:rFonts w:hint="eastAsia" w:ascii="微软雅黑" w:hAnsi="微软雅黑" w:eastAsia="微软雅黑" w:cs="微软雅黑"/>
          <w:bCs/>
          <w:sz w:val="21"/>
          <w:szCs w:val="21"/>
        </w:rPr>
        <w:t>咨询业务</w:t>
      </w:r>
      <w:r>
        <w:rPr>
          <w:rFonts w:hint="eastAsia" w:ascii="微软雅黑" w:hAnsi="微软雅黑" w:eastAsia="微软雅黑" w:cs="微软雅黑"/>
          <w:bCs/>
          <w:sz w:val="21"/>
          <w:szCs w:val="21"/>
          <w:lang w:eastAsia="zh-CN"/>
        </w:rPr>
        <w:t>等</w:t>
      </w:r>
      <w:r>
        <w:rPr>
          <w:rFonts w:hint="eastAsia" w:ascii="微软雅黑" w:hAnsi="微软雅黑" w:eastAsia="微软雅黑" w:cs="微软雅黑"/>
          <w:bCs/>
          <w:sz w:val="21"/>
          <w:szCs w:val="21"/>
        </w:rPr>
        <w:t>。</w:t>
      </w:r>
      <w:r>
        <w:rPr>
          <w:rFonts w:hint="eastAsia" w:ascii="微软雅黑" w:hAnsi="微软雅黑" w:eastAsia="微软雅黑" w:cs="微软雅黑"/>
          <w:bCs/>
          <w:sz w:val="21"/>
          <w:szCs w:val="21"/>
          <w:highlight w:val="none"/>
        </w:rPr>
        <w:t>201</w:t>
      </w:r>
      <w:r>
        <w:rPr>
          <w:rFonts w:hint="eastAsia" w:ascii="微软雅黑" w:hAnsi="微软雅黑" w:eastAsia="微软雅黑" w:cs="微软雅黑"/>
          <w:bCs/>
          <w:sz w:val="21"/>
          <w:szCs w:val="21"/>
          <w:highlight w:val="none"/>
          <w:lang w:val="en-US" w:eastAsia="zh-CN"/>
        </w:rPr>
        <w:t>6</w:t>
      </w:r>
      <w:r>
        <w:rPr>
          <w:rFonts w:hint="eastAsia" w:ascii="微软雅黑" w:hAnsi="微软雅黑" w:eastAsia="微软雅黑" w:cs="微软雅黑"/>
          <w:bCs/>
          <w:sz w:val="21"/>
          <w:szCs w:val="21"/>
          <w:highlight w:val="none"/>
        </w:rPr>
        <w:t>年全球</w:t>
      </w:r>
      <w:r>
        <w:rPr>
          <w:rFonts w:hint="eastAsia" w:ascii="微软雅黑" w:hAnsi="微软雅黑" w:eastAsia="微软雅黑" w:cs="微软雅黑"/>
          <w:bCs/>
          <w:sz w:val="21"/>
          <w:szCs w:val="21"/>
          <w:highlight w:val="none"/>
          <w:lang w:eastAsia="zh-CN"/>
        </w:rPr>
        <w:t>和中国境内</w:t>
      </w:r>
      <w:r>
        <w:rPr>
          <w:rFonts w:hint="eastAsia" w:ascii="微软雅黑" w:hAnsi="微软雅黑" w:eastAsia="微软雅黑" w:cs="微软雅黑"/>
          <w:bCs/>
          <w:sz w:val="21"/>
          <w:szCs w:val="21"/>
          <w:highlight w:val="none"/>
        </w:rPr>
        <w:t>营业额</w:t>
      </w:r>
      <w:r>
        <w:rPr>
          <w:rFonts w:hint="eastAsia" w:ascii="微软雅黑" w:hAnsi="微软雅黑" w:eastAsia="微软雅黑" w:cs="微软雅黑"/>
          <w:bCs/>
          <w:sz w:val="21"/>
          <w:szCs w:val="21"/>
          <w:highlight w:val="none"/>
          <w:lang w:eastAsia="zh-CN"/>
        </w:rPr>
        <w:t>均</w:t>
      </w:r>
      <w:r>
        <w:rPr>
          <w:rFonts w:hint="eastAsia" w:ascii="微软雅黑" w:hAnsi="微软雅黑" w:eastAsia="微软雅黑" w:cs="微软雅黑"/>
          <w:bCs/>
          <w:sz w:val="21"/>
          <w:szCs w:val="21"/>
          <w:highlight w:val="none"/>
        </w:rPr>
        <w:t>为</w:t>
      </w:r>
      <w:r>
        <w:rPr>
          <w:rFonts w:hint="eastAsia" w:ascii="微软雅黑" w:hAnsi="微软雅黑" w:eastAsia="微软雅黑" w:cs="微软雅黑"/>
          <w:bCs/>
          <w:sz w:val="21"/>
          <w:szCs w:val="21"/>
          <w:highlight w:val="none"/>
          <w:lang w:eastAsia="zh-CN"/>
        </w:rPr>
        <w:t>（略）</w:t>
      </w:r>
      <w:r>
        <w:rPr>
          <w:rFonts w:hint="eastAsia" w:ascii="微软雅黑" w:hAnsi="微软雅黑" w:eastAsia="微软雅黑" w:cs="微软雅黑"/>
          <w:bCs/>
          <w:sz w:val="21"/>
          <w:szCs w:val="21"/>
          <w:highlight w:val="none"/>
        </w:rPr>
        <w:t>人民币（币种下同）。</w:t>
      </w:r>
    </w:p>
    <w:p>
      <w:pPr>
        <w:pageBreakBefore w:val="0"/>
        <w:kinsoku/>
        <w:wordWrap/>
        <w:topLinePunct w:val="0"/>
        <w:bidi w:val="0"/>
        <w:spacing w:line="600" w:lineRule="exact"/>
        <w:ind w:firstLine="408" w:firstLineChars="200"/>
        <w:textAlignment w:val="auto"/>
        <w:rPr>
          <w:rFonts w:hint="eastAsia" w:ascii="微软雅黑" w:hAnsi="微软雅黑" w:eastAsia="微软雅黑" w:cs="微软雅黑"/>
          <w:b/>
          <w:bCs w:val="0"/>
          <w:sz w:val="21"/>
          <w:szCs w:val="21"/>
        </w:rPr>
      </w:pPr>
      <w:r>
        <w:rPr>
          <w:rFonts w:hint="eastAsia" w:ascii="微软雅黑" w:hAnsi="微软雅黑" w:eastAsia="微软雅黑" w:cs="微软雅黑"/>
          <w:b/>
          <w:bCs w:val="0"/>
          <w:sz w:val="21"/>
          <w:szCs w:val="21"/>
          <w:lang w:eastAsia="zh-CN"/>
        </w:rPr>
        <w:t>合营另一</w:t>
      </w:r>
      <w:r>
        <w:rPr>
          <w:rFonts w:hint="eastAsia" w:ascii="微软雅黑" w:hAnsi="微软雅黑" w:eastAsia="微软雅黑" w:cs="微软雅黑"/>
          <w:b/>
          <w:bCs w:val="0"/>
          <w:sz w:val="21"/>
          <w:szCs w:val="21"/>
        </w:rPr>
        <w:t>方：上海云鑫</w:t>
      </w:r>
      <w:r>
        <w:rPr>
          <w:rFonts w:hint="eastAsia" w:ascii="微软雅黑" w:hAnsi="微软雅黑" w:eastAsia="微软雅黑" w:cs="微软雅黑"/>
          <w:b/>
          <w:bCs w:val="0"/>
          <w:sz w:val="21"/>
          <w:szCs w:val="21"/>
          <w:lang w:eastAsia="zh-CN"/>
        </w:rPr>
        <w:t>。</w:t>
      </w:r>
      <w:r>
        <w:rPr>
          <w:rFonts w:hint="eastAsia" w:ascii="微软雅黑" w:hAnsi="微软雅黑" w:eastAsia="微软雅黑" w:cs="微软雅黑"/>
          <w:bCs/>
          <w:sz w:val="21"/>
          <w:szCs w:val="21"/>
        </w:rPr>
        <w:t>2014年</w:t>
      </w:r>
      <w:r>
        <w:rPr>
          <w:rFonts w:hint="eastAsia" w:ascii="微软雅黑" w:hAnsi="微软雅黑" w:eastAsia="微软雅黑" w:cs="微软雅黑"/>
          <w:bCs/>
          <w:sz w:val="21"/>
          <w:szCs w:val="21"/>
          <w:lang w:eastAsia="zh-CN"/>
        </w:rPr>
        <w:t>在上海</w:t>
      </w:r>
      <w:r>
        <w:rPr>
          <w:rFonts w:hint="eastAsia" w:ascii="微软雅黑" w:hAnsi="微软雅黑" w:eastAsia="微软雅黑" w:cs="微软雅黑"/>
          <w:bCs/>
          <w:sz w:val="21"/>
          <w:szCs w:val="21"/>
          <w:lang w:val="en-US" w:eastAsia="zh-CN"/>
        </w:rPr>
        <w:t>市</w:t>
      </w:r>
      <w:r>
        <w:rPr>
          <w:rFonts w:hint="eastAsia" w:ascii="微软雅黑" w:hAnsi="微软雅黑" w:eastAsia="微软雅黑" w:cs="微软雅黑"/>
          <w:bCs/>
          <w:sz w:val="21"/>
          <w:szCs w:val="21"/>
        </w:rPr>
        <w:t>注册成立，是蚂蚁科技集团股份有限公司（以下简称蚂蚁集团）的全资子公司，最终控制人是</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rPr>
        <w:t>蚂蚁集团主营业务包括数字支付与商家服务、数字金融科技平台以及创新业务等。</w:t>
      </w:r>
      <w:r>
        <w:rPr>
          <w:rFonts w:hint="eastAsia" w:ascii="微软雅黑" w:hAnsi="微软雅黑" w:eastAsia="微软雅黑" w:cs="微软雅黑"/>
          <w:bCs/>
          <w:sz w:val="21"/>
          <w:szCs w:val="21"/>
          <w:highlight w:val="none"/>
        </w:rPr>
        <w:t>201</w:t>
      </w:r>
      <w:r>
        <w:rPr>
          <w:rFonts w:hint="eastAsia" w:ascii="微软雅黑" w:hAnsi="微软雅黑" w:eastAsia="微软雅黑" w:cs="微软雅黑"/>
          <w:bCs/>
          <w:sz w:val="21"/>
          <w:szCs w:val="21"/>
          <w:highlight w:val="none"/>
          <w:lang w:val="en-US" w:eastAsia="zh-CN"/>
        </w:rPr>
        <w:t>6</w:t>
      </w:r>
      <w:r>
        <w:rPr>
          <w:rFonts w:hint="eastAsia" w:ascii="微软雅黑" w:hAnsi="微软雅黑" w:eastAsia="微软雅黑" w:cs="微软雅黑"/>
          <w:bCs/>
          <w:sz w:val="21"/>
          <w:szCs w:val="21"/>
          <w:highlight w:val="none"/>
        </w:rPr>
        <w:t>年全球</w:t>
      </w:r>
      <w:r>
        <w:rPr>
          <w:rFonts w:hint="eastAsia" w:ascii="微软雅黑" w:hAnsi="微软雅黑" w:eastAsia="微软雅黑" w:cs="微软雅黑"/>
          <w:bCs/>
          <w:sz w:val="21"/>
          <w:szCs w:val="21"/>
          <w:highlight w:val="none"/>
          <w:lang w:eastAsia="zh-CN"/>
        </w:rPr>
        <w:t>和中国境内</w:t>
      </w:r>
      <w:r>
        <w:rPr>
          <w:rFonts w:hint="eastAsia" w:ascii="微软雅黑" w:hAnsi="微软雅黑" w:eastAsia="微软雅黑" w:cs="微软雅黑"/>
          <w:bCs/>
          <w:sz w:val="21"/>
          <w:szCs w:val="21"/>
          <w:highlight w:val="none"/>
        </w:rPr>
        <w:t>营业额</w:t>
      </w:r>
      <w:r>
        <w:rPr>
          <w:rFonts w:hint="eastAsia" w:ascii="微软雅黑" w:hAnsi="微软雅黑" w:eastAsia="微软雅黑" w:cs="微软雅黑"/>
          <w:bCs/>
          <w:sz w:val="21"/>
          <w:szCs w:val="21"/>
          <w:highlight w:val="none"/>
          <w:lang w:eastAsia="zh-CN"/>
        </w:rPr>
        <w:t>分别</w:t>
      </w:r>
      <w:r>
        <w:rPr>
          <w:rFonts w:hint="eastAsia" w:ascii="微软雅黑" w:hAnsi="微软雅黑" w:eastAsia="微软雅黑" w:cs="微软雅黑"/>
          <w:bCs/>
          <w:sz w:val="21"/>
          <w:szCs w:val="21"/>
          <w:highlight w:val="none"/>
        </w:rPr>
        <w:t>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highlight w:val="none"/>
          <w:lang w:eastAsia="zh-CN"/>
        </w:rPr>
        <w:t>、</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highlight w:val="none"/>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（二）交易概况。</w:t>
      </w:r>
    </w:p>
    <w:p>
      <w:pPr>
        <w:pStyle w:val="9"/>
        <w:pageBreakBefore w:val="0"/>
        <w:widowControl w:val="0"/>
        <w:kinsoku/>
        <w:wordWrap/>
        <w:topLinePunct w:val="0"/>
        <w:bidi w:val="0"/>
        <w:adjustRightInd/>
        <w:snapToGrid w:val="0"/>
        <w:spacing w:line="560" w:lineRule="exact"/>
        <w:ind w:firstLine="643"/>
        <w:textAlignment w:val="auto"/>
        <w:rPr>
          <w:rFonts w:hint="eastAsia" w:ascii="微软雅黑" w:hAnsi="微软雅黑" w:eastAsia="微软雅黑" w:cs="微软雅黑"/>
          <w:bCs/>
          <w:sz w:val="21"/>
          <w:szCs w:val="21"/>
          <w:lang w:val="en-US" w:eastAsia="zh-CN"/>
        </w:rPr>
      </w:pPr>
      <w:r>
        <w:rPr>
          <w:rFonts w:hint="eastAsia" w:ascii="微软雅黑" w:hAnsi="微软雅黑" w:eastAsia="微软雅黑" w:cs="微软雅黑"/>
          <w:sz w:val="21"/>
          <w:szCs w:val="21"/>
          <w:lang w:eastAsia="zh-CN"/>
        </w:rPr>
        <w:t>本交易系设立合营企业。2016年12月29日，合营双方签署交易协议，成立农联中鑫科技股份有限公司（以下简称农联中鑫），其中，中华保险持股60%，上海云鑫持股40%。</w:t>
      </w:r>
      <w:r>
        <w:rPr>
          <w:rFonts w:hint="eastAsia" w:ascii="微软雅黑" w:hAnsi="微软雅黑" w:eastAsia="微软雅黑" w:cs="微软雅黑"/>
          <w:sz w:val="21"/>
          <w:szCs w:val="21"/>
          <w:lang w:eastAsia="zh-CN"/>
        </w:rPr>
        <w:t>2017年3月13日，农联中鑫取得营业执照。</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240" w:lineRule="auto"/>
        <w:ind w:firstLine="408"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《反垄断法》第二十条</w:t>
      </w:r>
      <w:r>
        <w:rPr>
          <w:rFonts w:hint="eastAsia" w:ascii="微软雅黑" w:hAnsi="微软雅黑" w:eastAsia="微软雅黑" w:cs="微软雅黑"/>
          <w:sz w:val="21"/>
          <w:szCs w:val="21"/>
          <w:lang w:eastAsia="zh-CN"/>
        </w:rPr>
        <w:t>规定</w:t>
      </w:r>
      <w:r>
        <w:rPr>
          <w:rFonts w:hint="eastAsia" w:ascii="微软雅黑" w:hAnsi="微软雅黑" w:eastAsia="微软雅黑" w:cs="微软雅黑"/>
          <w:sz w:val="21"/>
          <w:szCs w:val="21"/>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9"/>
      <w:r>
        <w:rPr>
          <w:rFonts w:hint="eastAsia" w:ascii="微软雅黑" w:hAnsi="微软雅黑" w:eastAsia="微软雅黑" w:cs="微软雅黑"/>
          <w:sz w:val="21"/>
          <w:szCs w:val="21"/>
        </w:rPr>
        <w:t>2017年3月</w:t>
      </w:r>
      <w:r>
        <w:rPr>
          <w:rFonts w:hint="eastAsia" w:ascii="微软雅黑" w:hAnsi="微软雅黑" w:eastAsia="微软雅黑" w:cs="微软雅黑"/>
          <w:sz w:val="21"/>
          <w:szCs w:val="21"/>
          <w:lang w:eastAsia="zh-CN"/>
        </w:rPr>
        <w:t>，</w:t>
      </w:r>
      <w:r>
        <w:rPr>
          <w:rFonts w:hint="eastAsia" w:ascii="微软雅黑" w:hAnsi="微软雅黑" w:eastAsia="微软雅黑" w:cs="微软雅黑"/>
          <w:bCs/>
          <w:sz w:val="21"/>
          <w:szCs w:val="21"/>
        </w:rPr>
        <w:t>中华保险和上海云鑫设立合营企业农联中鑫，分别持股60%、40%，取得农联中鑫</w:t>
      </w:r>
      <w:r>
        <w:rPr>
          <w:rFonts w:hint="eastAsia" w:ascii="微软雅黑" w:hAnsi="微软雅黑" w:eastAsia="微软雅黑" w:cs="微软雅黑"/>
          <w:bCs/>
          <w:sz w:val="21"/>
          <w:szCs w:val="21"/>
          <w:lang w:eastAsia="zh-CN"/>
        </w:rPr>
        <w:t>的</w:t>
      </w:r>
      <w:r>
        <w:rPr>
          <w:rFonts w:hint="eastAsia" w:ascii="微软雅黑" w:hAnsi="微软雅黑" w:eastAsia="微软雅黑" w:cs="微软雅黑"/>
          <w:bCs/>
          <w:sz w:val="21"/>
          <w:szCs w:val="21"/>
        </w:rPr>
        <w:t>共同控制权，属于《反垄断法》第二十条规定的经营者集中。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240" w:lineRule="auto"/>
        <w:ind w:firstLine="408" w:firstLineChars="200"/>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bCs/>
          <w:sz w:val="21"/>
          <w:szCs w:val="21"/>
          <w:lang w:eastAsia="zh-CN"/>
        </w:rPr>
        <w:t>2016年中华保险全球和中国境内营业额均为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lang w:eastAsia="zh-CN"/>
        </w:rPr>
        <w:t>；上海云鑫全球和中国境内营业额分别为</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lang w:eastAsia="zh-CN"/>
        </w:rPr>
        <w:t>、</w:t>
      </w:r>
      <w:r>
        <w:rPr>
          <w:rFonts w:hint="eastAsia" w:ascii="微软雅黑" w:hAnsi="微软雅黑" w:eastAsia="微软雅黑" w:cs="微软雅黑"/>
          <w:bCs/>
          <w:sz w:val="21"/>
          <w:szCs w:val="21"/>
          <w:lang w:eastAsia="zh-CN"/>
        </w:rPr>
        <w:t>（略）</w:t>
      </w:r>
      <w:r>
        <w:rPr>
          <w:rFonts w:hint="eastAsia" w:ascii="微软雅黑" w:hAnsi="微软雅黑" w:eastAsia="微软雅黑" w:cs="微软雅黑"/>
          <w:bCs/>
          <w:sz w:val="21"/>
          <w:szCs w:val="21"/>
          <w:lang w:eastAsia="zh-CN"/>
        </w:rPr>
        <w:t>，达到《国务院关于经营者集中申报标准的规定》第三条规定的申报标准，属于应当申报的情形。</w:t>
      </w:r>
    </w:p>
    <w:bookmarkEnd w:id="0"/>
    <w:p>
      <w:pPr>
        <w:keepNext w:val="0"/>
        <w:keepLines w:val="0"/>
        <w:pageBreakBefore w:val="0"/>
        <w:widowControl w:val="0"/>
        <w:kinsoku/>
        <w:wordWrap/>
        <w:topLinePunct w:val="0"/>
        <w:bidi w:val="0"/>
        <w:spacing w:line="594" w:lineRule="exact"/>
        <w:ind w:firstLine="400" w:firstLineChars="196"/>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根据</w:t>
      </w:r>
      <w:r>
        <w:rPr>
          <w:rFonts w:hint="eastAsia" w:ascii="微软雅黑" w:hAnsi="微软雅黑" w:eastAsia="微软雅黑" w:cs="微软雅黑"/>
          <w:sz w:val="21"/>
          <w:szCs w:val="21"/>
        </w:rPr>
        <w:t>《反垄断法》第二十一条</w:t>
      </w:r>
      <w:r>
        <w:rPr>
          <w:rFonts w:hint="eastAsia" w:ascii="微软雅黑" w:hAnsi="微软雅黑" w:eastAsia="微软雅黑" w:cs="微软雅黑"/>
          <w:sz w:val="21"/>
          <w:szCs w:val="21"/>
          <w:lang w:eastAsia="zh-CN"/>
        </w:rPr>
        <w:t>规定“经营者集中达到国务院规定的申报标准的，经营者应当事先向国务院反垄断执法机构申报，未申报的不得实施集中”。2017年3月13日，农联中鑫取得营业执照，在此之前未</w:t>
      </w:r>
      <w:r>
        <w:rPr>
          <w:rFonts w:hint="eastAsia" w:ascii="微软雅黑" w:hAnsi="微软雅黑" w:eastAsia="微软雅黑" w:cs="微软雅黑"/>
          <w:sz w:val="21"/>
          <w:szCs w:val="21"/>
          <w:lang w:val="en-US" w:eastAsia="zh-CN"/>
        </w:rPr>
        <w:t>依法</w:t>
      </w:r>
      <w:r>
        <w:rPr>
          <w:rFonts w:hint="eastAsia" w:ascii="微软雅黑" w:hAnsi="微软雅黑" w:eastAsia="微软雅黑" w:cs="微软雅黑"/>
          <w:sz w:val="21"/>
          <w:szCs w:val="21"/>
          <w:lang w:eastAsia="zh-CN"/>
        </w:rPr>
        <w:t>申报，违反《反垄断法》第二十一条，构成未依法申报违法实施的经营者集中。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（二）本案不具有排除、限制竞争的效果。</w:t>
      </w:r>
    </w:p>
    <w:p>
      <w:pPr>
        <w:keepNext w:val="0"/>
        <w:keepLines w:val="0"/>
        <w:pageBreakBefore w:val="0"/>
        <w:widowControl w:val="0"/>
        <w:kinsoku/>
        <w:wordWrap/>
        <w:topLinePunct w:val="0"/>
        <w:bidi w:val="0"/>
        <w:spacing w:line="580" w:lineRule="exact"/>
        <w:ind w:firstLine="408" w:firstLineChars="200"/>
        <w:textAlignment w:val="auto"/>
        <w:outlineLvl w:val="0"/>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本机关就</w:t>
      </w:r>
      <w:r>
        <w:rPr>
          <w:rFonts w:hint="eastAsia" w:ascii="微软雅黑" w:hAnsi="微软雅黑" w:eastAsia="微软雅黑" w:cs="微软雅黑"/>
          <w:b w:val="0"/>
          <w:bCs w:val="0"/>
          <w:kern w:val="2"/>
          <w:sz w:val="21"/>
          <w:szCs w:val="21"/>
          <w:lang w:val="en-US" w:eastAsia="zh-CN" w:bidi="ar-SA"/>
        </w:rPr>
        <w:t>中华保险和上海云鑫设立合营企业</w:t>
      </w:r>
      <w:r>
        <w:rPr>
          <w:rFonts w:hint="eastAsia" w:ascii="微软雅黑" w:hAnsi="微软雅黑" w:eastAsia="微软雅黑" w:cs="微软雅黑"/>
          <w:kern w:val="2"/>
          <w:sz w:val="21"/>
          <w:szCs w:val="21"/>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三、行政处罚依据和决定</w:t>
      </w:r>
    </w:p>
    <w:p>
      <w:pPr>
        <w:keepNext w:val="0"/>
        <w:keepLines w:val="0"/>
        <w:pageBreakBefore w:val="0"/>
        <w:widowControl w:val="0"/>
        <w:kinsoku/>
        <w:wordWrap/>
        <w:topLinePunct w:val="0"/>
        <w:bidi w:val="0"/>
        <w:spacing w:line="580" w:lineRule="exact"/>
        <w:ind w:firstLine="400" w:firstLineChars="196"/>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《反垄断法》第四十八条</w:t>
      </w:r>
      <w:r>
        <w:rPr>
          <w:rFonts w:hint="eastAsia" w:ascii="微软雅黑" w:hAnsi="微软雅黑" w:eastAsia="微软雅黑" w:cs="微软雅黑"/>
          <w:bCs/>
          <w:color w:val="000000"/>
          <w:kern w:val="2"/>
          <w:sz w:val="21"/>
          <w:szCs w:val="21"/>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eastAsia" w:ascii="微软雅黑" w:hAnsi="微软雅黑" w:eastAsia="微软雅黑" w:cs="微软雅黑"/>
          <w:bCs/>
          <w:color w:val="000000"/>
          <w:kern w:val="2"/>
          <w:sz w:val="21"/>
          <w:szCs w:val="21"/>
        </w:rPr>
        <w:t>《反垄断法》第四十九条</w:t>
      </w:r>
      <w:r>
        <w:rPr>
          <w:rFonts w:hint="eastAsia" w:ascii="微软雅黑" w:hAnsi="微软雅黑" w:eastAsia="微软雅黑" w:cs="微软雅黑"/>
          <w:bCs/>
          <w:color w:val="000000"/>
          <w:kern w:val="2"/>
          <w:sz w:val="21"/>
          <w:szCs w:val="21"/>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rPr>
        <w:t>根据</w:t>
      </w:r>
      <w:r>
        <w:rPr>
          <w:rFonts w:hint="eastAsia" w:ascii="微软雅黑" w:hAnsi="微软雅黑" w:eastAsia="微软雅黑" w:cs="微软雅黑"/>
          <w:bCs/>
          <w:color w:val="000000"/>
          <w:kern w:val="2"/>
          <w:sz w:val="21"/>
          <w:szCs w:val="21"/>
          <w:lang w:eastAsia="zh-CN"/>
        </w:rPr>
        <w:t>上述规定，</w:t>
      </w:r>
      <w:r>
        <w:rPr>
          <w:rFonts w:hint="eastAsia" w:ascii="微软雅黑" w:hAnsi="微软雅黑" w:eastAsia="微软雅黑" w:cs="微软雅黑"/>
          <w:bCs/>
          <w:color w:val="000000"/>
          <w:kern w:val="2"/>
          <w:sz w:val="21"/>
          <w:szCs w:val="21"/>
        </w:rPr>
        <w:t>基于调查</w:t>
      </w:r>
      <w:r>
        <w:rPr>
          <w:rFonts w:hint="eastAsia" w:ascii="微软雅黑" w:hAnsi="微软雅黑" w:eastAsia="微软雅黑" w:cs="微软雅黑"/>
          <w:bCs/>
          <w:color w:val="000000"/>
          <w:kern w:val="2"/>
          <w:sz w:val="21"/>
          <w:szCs w:val="21"/>
          <w:lang w:eastAsia="zh-CN"/>
        </w:rPr>
        <w:t>情况和评估结论，本机关分别给予</w:t>
      </w:r>
      <w:r>
        <w:rPr>
          <w:rFonts w:hint="eastAsia" w:ascii="微软雅黑" w:hAnsi="微软雅黑" w:eastAsia="微软雅黑" w:cs="微软雅黑"/>
          <w:bCs/>
          <w:color w:val="000000"/>
          <w:kern w:val="2"/>
          <w:sz w:val="21"/>
          <w:szCs w:val="21"/>
          <w:lang w:val="en-US" w:eastAsia="zh-CN"/>
        </w:rPr>
        <w:t>中华保险和上海云鑫</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highlight w:val="none"/>
          <w:lang w:eastAsia="zh-CN"/>
        </w:rPr>
      </w:pPr>
      <w:r>
        <w:rPr>
          <w:rFonts w:hint="eastAsia" w:ascii="微软雅黑" w:hAnsi="微软雅黑" w:eastAsia="微软雅黑" w:cs="微软雅黑"/>
          <w:bCs/>
          <w:color w:val="000000"/>
          <w:kern w:val="2"/>
          <w:sz w:val="21"/>
          <w:szCs w:val="21"/>
          <w:lang w:eastAsia="zh-CN"/>
        </w:rPr>
        <w:t>当事人</w:t>
      </w:r>
      <w:r>
        <w:rPr>
          <w:rFonts w:hint="eastAsia" w:ascii="微软雅黑" w:hAnsi="微软雅黑" w:eastAsia="微软雅黑" w:cs="微软雅黑"/>
          <w:bCs/>
          <w:color w:val="000000"/>
          <w:kern w:val="2"/>
          <w:sz w:val="21"/>
          <w:szCs w:val="21"/>
          <w:lang w:eastAsia="zh-CN"/>
        </w:rPr>
        <w:t>应当自收到本行政处罚决定书之日起十五日内，携缴款码到</w:t>
      </w:r>
      <w:r>
        <w:rPr>
          <w:rFonts w:hint="eastAsia" w:ascii="微软雅黑" w:hAnsi="微软雅黑" w:eastAsia="微软雅黑" w:cs="微软雅黑"/>
          <w:bCs/>
          <w:color w:val="000000"/>
          <w:kern w:val="2"/>
          <w:sz w:val="21"/>
          <w:szCs w:val="21"/>
          <w:lang w:val="en-US" w:eastAsia="zh-CN"/>
        </w:rPr>
        <w:t>1</w:t>
      </w:r>
      <w:r>
        <w:rPr>
          <w:rFonts w:hint="eastAsia" w:ascii="微软雅黑" w:hAnsi="微软雅黑" w:eastAsia="微软雅黑" w:cs="微软雅黑"/>
          <w:bCs/>
          <w:color w:val="000000"/>
          <w:kern w:val="2"/>
          <w:sz w:val="21"/>
          <w:szCs w:val="21"/>
          <w:lang w:val="en-US" w:eastAsia="zh-CN"/>
        </w:rPr>
        <w:t>5</w:t>
      </w:r>
      <w:r>
        <w:rPr>
          <w:rFonts w:hint="eastAsia" w:ascii="微软雅黑" w:hAnsi="微软雅黑" w:eastAsia="微软雅黑" w:cs="微软雅黑"/>
          <w:bCs/>
          <w:color w:val="000000"/>
          <w:kern w:val="2"/>
          <w:sz w:val="21"/>
          <w:szCs w:val="21"/>
          <w:lang w:val="en-US" w:eastAsia="zh-CN"/>
        </w:rPr>
        <w:t>家中央财政非税收入收缴代理银行（工、农、中、建、交、中信、光大、招商、邮储、华夏、平安、</w:t>
      </w:r>
      <w:r>
        <w:rPr>
          <w:rFonts w:hint="eastAsia" w:ascii="微软雅黑" w:hAnsi="微软雅黑" w:eastAsia="微软雅黑" w:cs="微软雅黑"/>
          <w:bCs/>
          <w:color w:val="000000"/>
          <w:kern w:val="2"/>
          <w:sz w:val="21"/>
          <w:szCs w:val="21"/>
          <w:highlight w:val="none"/>
          <w:lang w:val="en-US" w:eastAsia="zh-CN"/>
        </w:rPr>
        <w:t>兴业</w:t>
      </w:r>
      <w:r>
        <w:rPr>
          <w:rFonts w:hint="eastAsia" w:ascii="微软雅黑" w:hAnsi="微软雅黑" w:eastAsia="微软雅黑" w:cs="微软雅黑"/>
          <w:bCs/>
          <w:color w:val="000000"/>
          <w:kern w:val="2"/>
          <w:sz w:val="21"/>
          <w:szCs w:val="21"/>
          <w:highlight w:val="none"/>
          <w:lang w:val="en-US" w:eastAsia="zh-CN"/>
        </w:rPr>
        <w:t>、民生、广发、浙商</w:t>
      </w:r>
      <w:r>
        <w:rPr>
          <w:rFonts w:hint="eastAsia" w:ascii="微软雅黑" w:hAnsi="微软雅黑" w:eastAsia="微软雅黑" w:cs="微软雅黑"/>
          <w:bCs/>
          <w:color w:val="000000"/>
          <w:kern w:val="2"/>
          <w:sz w:val="21"/>
          <w:szCs w:val="21"/>
          <w:highlight w:val="none"/>
          <w:lang w:val="en-US" w:eastAsia="zh-CN"/>
        </w:rPr>
        <w:t>）任一银行网点</w:t>
      </w:r>
      <w:r>
        <w:rPr>
          <w:rFonts w:hint="eastAsia" w:ascii="微软雅黑" w:hAnsi="微软雅黑" w:eastAsia="微软雅黑" w:cs="微软雅黑"/>
          <w:bCs/>
          <w:color w:val="000000"/>
          <w:kern w:val="2"/>
          <w:sz w:val="21"/>
          <w:szCs w:val="21"/>
          <w:highlight w:val="none"/>
          <w:lang w:val="en-US" w:eastAsia="zh-CN"/>
        </w:rPr>
        <w:t>、</w:t>
      </w:r>
      <w:r>
        <w:rPr>
          <w:rFonts w:hint="eastAsia" w:ascii="微软雅黑" w:hAnsi="微软雅黑" w:eastAsia="微软雅黑" w:cs="微软雅黑"/>
          <w:bCs/>
          <w:color w:val="000000"/>
          <w:kern w:val="2"/>
          <w:sz w:val="21"/>
          <w:szCs w:val="21"/>
          <w:highlight w:val="none"/>
          <w:lang w:val="en-US" w:eastAsia="zh-CN"/>
        </w:rPr>
        <w:t>网上银行缴纳罚款。</w:t>
      </w:r>
      <w:r>
        <w:rPr>
          <w:rFonts w:hint="eastAsia" w:ascii="微软雅黑" w:hAnsi="微软雅黑" w:eastAsia="微软雅黑" w:cs="微软雅黑"/>
          <w:bCs/>
          <w:color w:val="000000"/>
          <w:kern w:val="2"/>
          <w:sz w:val="21"/>
          <w:szCs w:val="21"/>
          <w:highlight w:val="none"/>
          <w:lang w:eastAsia="zh-CN"/>
        </w:rPr>
        <w:t>缴款码：</w:t>
      </w:r>
      <w:r>
        <w:rPr>
          <w:rFonts w:hint="eastAsia" w:ascii="微软雅黑" w:hAnsi="微软雅黑" w:eastAsia="微软雅黑" w:cs="微软雅黑"/>
          <w:sz w:val="21"/>
          <w:szCs w:val="21"/>
          <w:lang w:eastAsia="zh-CN"/>
        </w:rPr>
        <w:t>中华保险</w:t>
      </w:r>
      <w:r>
        <w:rPr>
          <w:rFonts w:hint="eastAsia" w:ascii="微软雅黑" w:hAnsi="微软雅黑" w:eastAsia="微软雅黑" w:cs="微软雅黑"/>
          <w:b w:val="0"/>
          <w:bCs/>
          <w:kern w:val="2"/>
          <w:sz w:val="21"/>
          <w:szCs w:val="21"/>
          <w:highlight w:val="none"/>
          <w:lang w:val="en-US" w:eastAsia="zh-CN" w:bidi="ar-SA"/>
        </w:rPr>
        <w:t>0000002102114990</w:t>
      </w:r>
      <w:r>
        <w:rPr>
          <w:rFonts w:hint="eastAsia" w:ascii="微软雅黑" w:hAnsi="微软雅黑" w:eastAsia="微软雅黑" w:cs="微软雅黑"/>
          <w:kern w:val="2"/>
          <w:sz w:val="21"/>
          <w:szCs w:val="21"/>
          <w:highlight w:val="none"/>
          <w:lang w:val="en-US" w:eastAsia="zh-CN"/>
        </w:rPr>
        <w:t>，</w:t>
      </w:r>
      <w:r>
        <w:rPr>
          <w:rFonts w:hint="eastAsia" w:ascii="微软雅黑" w:hAnsi="微软雅黑" w:eastAsia="微软雅黑" w:cs="微软雅黑"/>
          <w:sz w:val="21"/>
          <w:szCs w:val="21"/>
          <w:highlight w:val="none"/>
          <w:lang w:eastAsia="zh-CN"/>
        </w:rPr>
        <w:t>上海云鑫</w:t>
      </w:r>
      <w:r>
        <w:rPr>
          <w:rFonts w:hint="eastAsia" w:ascii="微软雅黑" w:hAnsi="微软雅黑" w:eastAsia="微软雅黑" w:cs="微软雅黑"/>
          <w:b w:val="0"/>
          <w:bCs/>
          <w:kern w:val="2"/>
          <w:sz w:val="21"/>
          <w:szCs w:val="21"/>
          <w:highlight w:val="none"/>
          <w:lang w:val="en-US" w:eastAsia="zh-CN" w:bidi="ar-SA"/>
        </w:rPr>
        <w:t>0000002102115001</w:t>
      </w:r>
      <w:r>
        <w:rPr>
          <w:rFonts w:hint="eastAsia" w:ascii="微软雅黑" w:hAnsi="微软雅黑" w:eastAsia="微软雅黑" w:cs="微软雅黑"/>
          <w:bCs/>
          <w:color w:val="000000"/>
          <w:kern w:val="2"/>
          <w:sz w:val="21"/>
          <w:szCs w:val="21"/>
          <w:highlight w:val="none"/>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408" w:firstLineChars="200"/>
        <w:textAlignment w:val="auto"/>
        <w:rPr>
          <w:rFonts w:hint="eastAsia" w:ascii="微软雅黑" w:hAnsi="微软雅黑" w:eastAsia="微软雅黑" w:cs="微软雅黑"/>
          <w:bCs/>
          <w:color w:val="000000"/>
          <w:kern w:val="2"/>
          <w:sz w:val="21"/>
          <w:szCs w:val="21"/>
          <w:lang w:eastAsia="zh-CN"/>
        </w:rPr>
      </w:pPr>
      <w:r>
        <w:rPr>
          <w:rFonts w:hint="eastAsia" w:ascii="微软雅黑" w:hAnsi="微软雅黑" w:eastAsia="微软雅黑" w:cs="微软雅黑"/>
          <w:bCs/>
          <w:color w:val="000000"/>
          <w:kern w:val="2"/>
          <w:sz w:val="21"/>
          <w:szCs w:val="21"/>
          <w:highlight w:val="none"/>
          <w:lang w:eastAsia="zh-CN"/>
        </w:rPr>
        <w:t>当事人</w:t>
      </w:r>
      <w:r>
        <w:rPr>
          <w:rFonts w:hint="eastAsia" w:ascii="微软雅黑" w:hAnsi="微软雅黑" w:eastAsia="微软雅黑" w:cs="微软雅黑"/>
          <w:bCs/>
          <w:color w:val="000000"/>
          <w:kern w:val="2"/>
          <w:sz w:val="21"/>
          <w:szCs w:val="21"/>
          <w:highlight w:val="none"/>
          <w:lang w:eastAsia="zh-CN"/>
        </w:rPr>
        <w:t>如对上述行政处罚决定不服，可以自收到本行政处罚决</w:t>
      </w:r>
      <w:r>
        <w:rPr>
          <w:rFonts w:hint="eastAsia" w:ascii="微软雅黑" w:hAnsi="微软雅黑" w:eastAsia="微软雅黑" w:cs="微软雅黑"/>
          <w:bCs/>
          <w:color w:val="000000"/>
          <w:kern w:val="2"/>
          <w:sz w:val="21"/>
          <w:szCs w:val="21"/>
          <w:lang w:eastAsia="zh-CN"/>
        </w:rPr>
        <w:t xml:space="preserve">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eastAsia" w:ascii="微软雅黑" w:hAnsi="微软雅黑" w:eastAsia="微软雅黑" w:cs="微软雅黑"/>
          <w:sz w:val="21"/>
          <w:szCs w:val="21"/>
          <w:lang w:eastAsia="zh-CN"/>
        </w:rPr>
      </w:pPr>
    </w:p>
    <w:p>
      <w:pPr>
        <w:keepNext w:val="0"/>
        <w:keepLines w:val="0"/>
        <w:pageBreakBefore w:val="0"/>
        <w:widowControl w:val="0"/>
        <w:kinsoku/>
        <w:wordWrap/>
        <w:topLinePunct w:val="0"/>
        <w:bidi w:val="0"/>
        <w:snapToGrid w:val="0"/>
        <w:spacing w:line="580" w:lineRule="exact"/>
        <w:ind w:firstLine="3530" w:firstLineChars="173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市场监管总局</w:t>
      </w:r>
    </w:p>
    <w:p>
      <w:pPr>
        <w:keepNext w:val="0"/>
        <w:keepLines w:val="0"/>
        <w:pageBreakBefore w:val="0"/>
        <w:widowControl w:val="0"/>
        <w:kinsoku/>
        <w:wordWrap/>
        <w:topLinePunct w:val="0"/>
        <w:bidi w:val="0"/>
        <w:snapToGrid w:val="0"/>
        <w:spacing w:line="580" w:lineRule="exact"/>
        <w:ind w:firstLine="3395" w:firstLineChars="1664"/>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202</w:t>
      </w:r>
      <w:r>
        <w:rPr>
          <w:rFonts w:hint="eastAsia" w:ascii="微软雅黑" w:hAnsi="微软雅黑" w:eastAsia="微软雅黑" w:cs="微软雅黑"/>
          <w:kern w:val="2"/>
          <w:sz w:val="21"/>
          <w:szCs w:val="21"/>
          <w:lang w:val="en-US" w:eastAsia="zh-CN"/>
        </w:rPr>
        <w:t>1</w:t>
      </w:r>
      <w:r>
        <w:rPr>
          <w:rFonts w:hint="eastAsia" w:ascii="微软雅黑" w:hAnsi="微软雅黑" w:eastAsia="微软雅黑" w:cs="微软雅黑"/>
          <w:kern w:val="2"/>
          <w:sz w:val="21"/>
          <w:szCs w:val="21"/>
        </w:rPr>
        <w:t>年</w:t>
      </w:r>
      <w:r>
        <w:rPr>
          <w:rFonts w:hint="eastAsia" w:ascii="微软雅黑" w:hAnsi="微软雅黑" w:eastAsia="微软雅黑" w:cs="微软雅黑"/>
          <w:kern w:val="2"/>
          <w:sz w:val="21"/>
          <w:szCs w:val="21"/>
          <w:lang w:val="en-US" w:eastAsia="zh-CN"/>
        </w:rPr>
        <w:t>11</w:t>
      </w:r>
      <w:r>
        <w:rPr>
          <w:rFonts w:hint="eastAsia" w:ascii="微软雅黑" w:hAnsi="微软雅黑" w:eastAsia="微软雅黑" w:cs="微软雅黑"/>
          <w:kern w:val="2"/>
          <w:sz w:val="21"/>
          <w:szCs w:val="21"/>
        </w:rPr>
        <w:t>月</w:t>
      </w:r>
      <w:r>
        <w:rPr>
          <w:rFonts w:hint="eastAsia" w:ascii="微软雅黑" w:hAnsi="微软雅黑" w:eastAsia="微软雅黑" w:cs="微软雅黑"/>
          <w:kern w:val="2"/>
          <w:sz w:val="21"/>
          <w:szCs w:val="21"/>
          <w:lang w:val="en-US" w:eastAsia="zh-CN"/>
        </w:rPr>
        <w:t>17</w:t>
      </w:r>
      <w:r>
        <w:rPr>
          <w:rFonts w:hint="eastAsia" w:ascii="微软雅黑" w:hAnsi="微软雅黑" w:eastAsia="微软雅黑" w:cs="微软雅黑"/>
          <w:kern w:val="2"/>
          <w:sz w:val="21"/>
          <w:szCs w:val="21"/>
        </w:rPr>
        <w:t>日</w:t>
      </w:r>
    </w:p>
    <w:p>
      <w:pPr>
        <w:keepNext w:val="0"/>
        <w:keepLines w:val="0"/>
        <w:pageBreakBefore w:val="0"/>
        <w:widowControl w:val="0"/>
        <w:kinsoku/>
        <w:wordWrap/>
        <w:topLinePunct w:val="0"/>
        <w:bidi w:val="0"/>
        <w:spacing w:line="580" w:lineRule="exact"/>
        <w:ind w:firstLine="408" w:firstLineChars="200"/>
        <w:textAlignment w:val="auto"/>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rPr>
        <w:t>（此件公开发布）</w:t>
      </w:r>
    </w:p>
    <w:p>
      <w:pPr>
        <w:pStyle w:val="3"/>
        <w:rPr>
          <w:rFonts w:hint="eastAsia" w:ascii="微软雅黑" w:hAnsi="微软雅黑" w:eastAsia="微软雅黑" w:cs="微软雅黑"/>
          <w:sz w:val="21"/>
          <w:szCs w:val="21"/>
          <w:highlight w:val="yellow"/>
          <w:lang w:eastAsia="zh-CN"/>
        </w:rPr>
      </w:pPr>
    </w:p>
    <w:bookmarkEnd w:id="1"/>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B2F2947"/>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300B75DD"/>
    <w:rsid w:val="3069119D"/>
    <w:rsid w:val="308D1FE3"/>
    <w:rsid w:val="31611C2C"/>
    <w:rsid w:val="31E778A8"/>
    <w:rsid w:val="31F6C7E4"/>
    <w:rsid w:val="32FDCB2B"/>
    <w:rsid w:val="33B94AAA"/>
    <w:rsid w:val="34714342"/>
    <w:rsid w:val="34FF5F01"/>
    <w:rsid w:val="34FF9F5F"/>
    <w:rsid w:val="35B03B5A"/>
    <w:rsid w:val="37EE8979"/>
    <w:rsid w:val="38043EF0"/>
    <w:rsid w:val="386A294D"/>
    <w:rsid w:val="3B5D2A4F"/>
    <w:rsid w:val="3F1B7491"/>
    <w:rsid w:val="3F3B6D32"/>
    <w:rsid w:val="3F9631F0"/>
    <w:rsid w:val="45F50A3C"/>
    <w:rsid w:val="46E42D2C"/>
    <w:rsid w:val="471E5D70"/>
    <w:rsid w:val="48B07C4C"/>
    <w:rsid w:val="49513DE5"/>
    <w:rsid w:val="49F75885"/>
    <w:rsid w:val="4ABC40B8"/>
    <w:rsid w:val="4BE41131"/>
    <w:rsid w:val="4BF7962F"/>
    <w:rsid w:val="4EF957B9"/>
    <w:rsid w:val="4EFD73AF"/>
    <w:rsid w:val="4FBB0857"/>
    <w:rsid w:val="4FDB2438"/>
    <w:rsid w:val="4FF92239"/>
    <w:rsid w:val="50983997"/>
    <w:rsid w:val="509E06F1"/>
    <w:rsid w:val="51075873"/>
    <w:rsid w:val="541C0068"/>
    <w:rsid w:val="58F35A97"/>
    <w:rsid w:val="5A8C3C9C"/>
    <w:rsid w:val="5B8B0DC5"/>
    <w:rsid w:val="5BDD2331"/>
    <w:rsid w:val="5D4E6DD5"/>
    <w:rsid w:val="5DFB44FE"/>
    <w:rsid w:val="5EBC3ACE"/>
    <w:rsid w:val="5EFA53DB"/>
    <w:rsid w:val="5F391542"/>
    <w:rsid w:val="5FDFED6B"/>
    <w:rsid w:val="5FFF3696"/>
    <w:rsid w:val="602F6571"/>
    <w:rsid w:val="62E72A13"/>
    <w:rsid w:val="631604C1"/>
    <w:rsid w:val="662A0EB3"/>
    <w:rsid w:val="6947638C"/>
    <w:rsid w:val="6A3F091C"/>
    <w:rsid w:val="6C37112F"/>
    <w:rsid w:val="6C8D52AD"/>
    <w:rsid w:val="6D3B2ECC"/>
    <w:rsid w:val="6F712D0C"/>
    <w:rsid w:val="6F9FB125"/>
    <w:rsid w:val="6FF892A9"/>
    <w:rsid w:val="6FFEE713"/>
    <w:rsid w:val="71205B4B"/>
    <w:rsid w:val="76EF2533"/>
    <w:rsid w:val="7A37CF4F"/>
    <w:rsid w:val="7A782B89"/>
    <w:rsid w:val="7BFDD7EC"/>
    <w:rsid w:val="7D5E1AEC"/>
    <w:rsid w:val="7D641176"/>
    <w:rsid w:val="7DDB62D1"/>
    <w:rsid w:val="7EBF8655"/>
    <w:rsid w:val="7EF5736C"/>
    <w:rsid w:val="7EFF9DCD"/>
    <w:rsid w:val="7FFE9891"/>
    <w:rsid w:val="7FFFACE2"/>
    <w:rsid w:val="AEFF5EFF"/>
    <w:rsid w:val="CDD79C97"/>
    <w:rsid w:val="CED9456F"/>
    <w:rsid w:val="D3597323"/>
    <w:rsid w:val="D6FF82F5"/>
    <w:rsid w:val="DAF7B9E4"/>
    <w:rsid w:val="DBDB6759"/>
    <w:rsid w:val="E3D1B28B"/>
    <w:rsid w:val="F7CA5D47"/>
    <w:rsid w:val="F7D6418A"/>
    <w:rsid w:val="FAB0BE9D"/>
    <w:rsid w:val="FAF82354"/>
    <w:rsid w:val="FB79899F"/>
    <w:rsid w:val="FBEF9321"/>
    <w:rsid w:val="FCF4FB91"/>
    <w:rsid w:val="FD175AA0"/>
    <w:rsid w:val="FDA31AD0"/>
    <w:rsid w:val="FE6716B4"/>
    <w:rsid w:val="FFD1F82D"/>
    <w:rsid w:val="FFFE614F"/>
    <w:rsid w:val="FFFF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2020-12-14T02:26:00Z</dcterms:created>
  <dc:creator>徐霄飞</dc:creator>
  <cp:lastModifiedBy>陈永仁</cp:lastModifiedBy>
  <cp:lastPrinted>2021-11-14T00:28:00Z</cp:lastPrinted>
  <dcterms:modified xsi:type="dcterms:W3CDTF">2021-11-21T15:32:12Z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D57A03B87170408C8FE3BAD14C891730</vt:lpwstr>
  </property>
</Properties>
</file>