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bCs/>
          <w:color w:val="000000"/>
          <w:kern w:val="2"/>
          <w:sz w:val="21"/>
          <w:szCs w:val="21"/>
        </w:rPr>
      </w:pPr>
      <w:bookmarkStart w:id="11" w:name="_GoBack"/>
      <w:r>
        <w:rPr>
          <w:rFonts w:hint="eastAsia" w:ascii="微软雅黑" w:hAnsi="微软雅黑" w:eastAsia="微软雅黑" w:cs="微软雅黑"/>
          <w:bCs/>
          <w:color w:val="000000"/>
          <w:spacing w:val="202"/>
          <w:kern w:val="0"/>
          <w:sz w:val="21"/>
          <w:szCs w:val="21"/>
          <w:fitText w:val="5742" w:id="972384512"/>
        </w:rPr>
        <w:t>国家市场监督管理总</w:t>
      </w:r>
      <w:r>
        <w:rPr>
          <w:rFonts w:hint="eastAsia" w:ascii="微软雅黑" w:hAnsi="微软雅黑" w:eastAsia="微软雅黑" w:cs="微软雅黑"/>
          <w:bCs/>
          <w:color w:val="000000"/>
          <w:spacing w:val="3"/>
          <w:kern w:val="0"/>
          <w:sz w:val="21"/>
          <w:szCs w:val="21"/>
          <w:fitText w:val="5742" w:id="972384512"/>
        </w:rPr>
        <w:t>局</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color w:val="000000"/>
          <w:kern w:val="2"/>
          <w:sz w:val="21"/>
          <w:szCs w:val="21"/>
        </w:rPr>
      </w:pPr>
      <w:r>
        <w:rPr>
          <w:rFonts w:hint="eastAsia" w:ascii="微软雅黑" w:hAnsi="微软雅黑" w:eastAsia="微软雅黑" w:cs="微软雅黑"/>
          <w:bCs/>
          <w:color w:val="000000"/>
          <w:spacing w:val="356"/>
          <w:kern w:val="0"/>
          <w:sz w:val="21"/>
          <w:szCs w:val="21"/>
          <w:fitText w:val="5742" w:id="1"/>
        </w:rPr>
        <w:t>行政处罚决定</w:t>
      </w:r>
      <w:r>
        <w:rPr>
          <w:rFonts w:hint="eastAsia" w:ascii="微软雅黑" w:hAnsi="微软雅黑" w:eastAsia="微软雅黑" w:cs="微软雅黑"/>
          <w:bCs/>
          <w:color w:val="000000"/>
          <w:spacing w:val="0"/>
          <w:kern w:val="0"/>
          <w:sz w:val="21"/>
          <w:szCs w:val="21"/>
          <w:fitText w:val="5742" w:id="1"/>
        </w:rPr>
        <w:t>书</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国市监处</w:t>
      </w:r>
      <w:r>
        <w:rPr>
          <w:rFonts w:hint="eastAsia" w:ascii="微软雅黑" w:hAnsi="微软雅黑" w:eastAsia="微软雅黑" w:cs="微软雅黑"/>
          <w:kern w:val="2"/>
          <w:sz w:val="21"/>
          <w:szCs w:val="21"/>
          <w:lang w:eastAsia="zh-CN"/>
        </w:rPr>
        <w:t>罚</w:t>
      </w:r>
      <w:r>
        <w:rPr>
          <w:rFonts w:hint="eastAsia" w:ascii="微软雅黑" w:hAnsi="微软雅黑" w:eastAsia="微软雅黑" w:cs="微软雅黑"/>
          <w:kern w:val="2"/>
          <w:sz w:val="21"/>
          <w:szCs w:val="21"/>
        </w:rPr>
        <w:t>〔202</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w:t>
      </w:r>
      <w:r>
        <w:rPr>
          <w:rFonts w:hint="eastAsia" w:ascii="微软雅黑" w:hAnsi="微软雅黑" w:eastAsia="微软雅黑" w:cs="微软雅黑"/>
          <w:kern w:val="2"/>
          <w:sz w:val="21"/>
          <w:szCs w:val="21"/>
          <w:lang w:val="en-US" w:eastAsia="zh-CN"/>
        </w:rPr>
        <w:t>78</w:t>
      </w:r>
      <w:r>
        <w:rPr>
          <w:rFonts w:hint="eastAsia" w:ascii="微软雅黑" w:hAnsi="微软雅黑" w:eastAsia="微软雅黑" w:cs="微软雅黑"/>
          <w:kern w:val="2"/>
          <w:sz w:val="21"/>
          <w:szCs w:val="21"/>
        </w:rPr>
        <w:t>号</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kern w:val="2"/>
          <w:sz w:val="21"/>
          <w:szCs w:val="21"/>
        </w:rPr>
      </w:pPr>
    </w:p>
    <w:p>
      <w:pPr>
        <w:pStyle w:val="2"/>
        <w:keepNext w:val="0"/>
        <w:keepLines w:val="0"/>
        <w:pageBreakBefore w:val="0"/>
        <w:widowControl w:val="0"/>
        <w:kinsoku/>
        <w:wordWrap/>
        <w:topLinePunct w:val="0"/>
        <w:bidi w:val="0"/>
        <w:spacing w:after="0" w:line="594" w:lineRule="exact"/>
        <w:ind w:left="0" w:leftChars="0" w:firstLine="402" w:firstLineChars="197"/>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kern w:val="2"/>
          <w:sz w:val="21"/>
          <w:szCs w:val="21"/>
        </w:rPr>
        <w:t>当事人：</w:t>
      </w:r>
      <w:r>
        <w:rPr>
          <w:rFonts w:hint="eastAsia" w:ascii="微软雅黑" w:hAnsi="微软雅黑" w:eastAsia="微软雅黑" w:cs="微软雅黑"/>
          <w:b w:val="0"/>
          <w:bCs/>
          <w:spacing w:val="-11"/>
          <w:kern w:val="2"/>
          <w:sz w:val="21"/>
          <w:szCs w:val="21"/>
          <w:lang w:val="en-US" w:eastAsia="zh-CN" w:bidi="ar-SA"/>
        </w:rPr>
        <w:t>饿了么（Rajax Holding）</w:t>
      </w:r>
    </w:p>
    <w:p>
      <w:pPr>
        <w:pStyle w:val="2"/>
        <w:keepNext w:val="0"/>
        <w:keepLines w:val="0"/>
        <w:pageBreakBefore w:val="0"/>
        <w:widowControl w:val="0"/>
        <w:kinsoku/>
        <w:wordWrap/>
        <w:topLinePunct w:val="0"/>
        <w:bidi w:val="0"/>
        <w:spacing w:after="0" w:line="594" w:lineRule="exact"/>
        <w:ind w:left="0" w:leftChars="0" w:firstLine="402" w:firstLineChars="197"/>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住  所：</w:t>
      </w:r>
      <w:r>
        <w:rPr>
          <w:rFonts w:hint="eastAsia" w:ascii="微软雅黑" w:hAnsi="微软雅黑" w:eastAsia="微软雅黑" w:cs="微软雅黑"/>
          <w:kern w:val="2"/>
          <w:sz w:val="21"/>
          <w:szCs w:val="21"/>
        </w:rPr>
        <w:t xml:space="preserve">开曼群岛大开曼岛西湾路802号芙蓉道大公馆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textAlignment w:val="auto"/>
        <w:rPr>
          <w:rFonts w:hint="eastAsia" w:ascii="微软雅黑" w:hAnsi="微软雅黑" w:eastAsia="微软雅黑" w:cs="微软雅黑"/>
          <w:sz w:val="21"/>
          <w:szCs w:val="21"/>
          <w:lang w:eastAsia="zh-CN"/>
        </w:rPr>
      </w:pP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sz w:val="21"/>
          <w:szCs w:val="21"/>
          <w:lang w:eastAsia="zh-CN"/>
        </w:rPr>
        <w:t>根据《中华人民共和国反垄断法》（以下简称《反垄断法》）《经营者集中审查暂行规定》，本机关于</w:t>
      </w:r>
      <w:r>
        <w:rPr>
          <w:rFonts w:hint="eastAsia" w:ascii="微软雅黑" w:hAnsi="微软雅黑" w:eastAsia="微软雅黑" w:cs="微软雅黑"/>
          <w:sz w:val="21"/>
          <w:szCs w:val="21"/>
          <w:lang w:val="en-US" w:eastAsia="zh-CN"/>
        </w:rPr>
        <w:t>2021年3月19日</w:t>
      </w:r>
      <w:r>
        <w:rPr>
          <w:rFonts w:hint="eastAsia" w:ascii="微软雅黑" w:hAnsi="微软雅黑" w:eastAsia="微软雅黑" w:cs="微软雅黑"/>
          <w:sz w:val="21"/>
          <w:szCs w:val="21"/>
          <w:lang w:eastAsia="zh-CN"/>
        </w:rPr>
        <w:t>对</w:t>
      </w:r>
      <w:bookmarkStart w:id="0" w:name="OLE_LINK41"/>
      <w:r>
        <w:rPr>
          <w:rFonts w:hint="eastAsia" w:ascii="微软雅黑" w:hAnsi="微软雅黑" w:eastAsia="微软雅黑" w:cs="微软雅黑"/>
          <w:bCs/>
          <w:sz w:val="21"/>
          <w:szCs w:val="21"/>
          <w:highlight w:val="none"/>
          <w:lang w:val="en-US" w:eastAsia="zh-CN"/>
        </w:rPr>
        <w:t>饿了么（Rajax Holding）收购</w:t>
      </w:r>
      <w:bookmarkEnd w:id="0"/>
      <w:r>
        <w:rPr>
          <w:rFonts w:hint="eastAsia" w:ascii="微软雅黑" w:hAnsi="微软雅黑" w:eastAsia="微软雅黑" w:cs="微软雅黑"/>
          <w:kern w:val="2"/>
          <w:sz w:val="21"/>
          <w:szCs w:val="21"/>
          <w:lang w:val="en-US" w:eastAsia="zh-CN" w:bidi="ar-SA"/>
        </w:rPr>
        <w:t>小度生活科技有限公司（</w:t>
      </w:r>
      <w:r>
        <w:rPr>
          <w:rFonts w:hint="eastAsia" w:ascii="微软雅黑" w:hAnsi="微软雅黑" w:eastAsia="微软雅黑" w:cs="微软雅黑"/>
          <w:kern w:val="2"/>
          <w:sz w:val="21"/>
          <w:szCs w:val="21"/>
          <w:lang w:val="en-US" w:eastAsia="zh-CN" w:bidi="ar-SA"/>
        </w:rPr>
        <w:t>以下</w:t>
      </w:r>
      <w:r>
        <w:rPr>
          <w:rFonts w:hint="eastAsia" w:ascii="微软雅黑" w:hAnsi="微软雅黑" w:eastAsia="微软雅黑" w:cs="微软雅黑"/>
          <w:kern w:val="2"/>
          <w:sz w:val="21"/>
          <w:szCs w:val="21"/>
          <w:lang w:val="en-US" w:eastAsia="zh-CN" w:bidi="ar-SA"/>
        </w:rPr>
        <w:t>简称百度外卖）</w:t>
      </w:r>
      <w:r>
        <w:rPr>
          <w:rFonts w:hint="eastAsia" w:ascii="微软雅黑" w:hAnsi="微软雅黑" w:eastAsia="微软雅黑" w:cs="微软雅黑"/>
          <w:bCs/>
          <w:sz w:val="21"/>
          <w:szCs w:val="21"/>
          <w:highlight w:val="none"/>
          <w:lang w:val="en-US" w:eastAsia="zh-CN"/>
        </w:rPr>
        <w:t>股权</w:t>
      </w:r>
      <w:r>
        <w:rPr>
          <w:rFonts w:hint="eastAsia" w:ascii="微软雅黑" w:hAnsi="微软雅黑" w:eastAsia="微软雅黑" w:cs="微软雅黑"/>
          <w:sz w:val="21"/>
          <w:szCs w:val="21"/>
        </w:rPr>
        <w:t>涉嫌</w:t>
      </w:r>
      <w:r>
        <w:rPr>
          <w:rFonts w:hint="eastAsia" w:ascii="微软雅黑" w:hAnsi="微软雅黑" w:eastAsia="微软雅黑" w:cs="微软雅黑"/>
          <w:sz w:val="21"/>
          <w:szCs w:val="21"/>
          <w:lang w:eastAsia="zh-CN"/>
        </w:rPr>
        <w:t>未依法申报</w:t>
      </w:r>
      <w:r>
        <w:rPr>
          <w:rFonts w:hint="eastAsia" w:ascii="微软雅黑" w:hAnsi="微软雅黑" w:eastAsia="微软雅黑" w:cs="微软雅黑"/>
          <w:sz w:val="21"/>
          <w:szCs w:val="21"/>
        </w:rPr>
        <w:t>违法实施经营者集中案</w:t>
      </w:r>
      <w:r>
        <w:rPr>
          <w:rFonts w:hint="eastAsia" w:ascii="微软雅黑" w:hAnsi="微软雅黑" w:eastAsia="微软雅黑" w:cs="微软雅黑"/>
          <w:kern w:val="2"/>
          <w:sz w:val="21"/>
          <w:szCs w:val="21"/>
        </w:rPr>
        <w:t>进行立案调查。</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经查，该案构成</w:t>
      </w:r>
      <w:r>
        <w:rPr>
          <w:rFonts w:hint="eastAsia" w:ascii="微软雅黑" w:hAnsi="微软雅黑" w:eastAsia="微软雅黑" w:cs="微软雅黑"/>
          <w:kern w:val="2"/>
          <w:sz w:val="21"/>
          <w:szCs w:val="21"/>
          <w:lang w:eastAsia="zh-CN"/>
        </w:rPr>
        <w:t>未依法申报</w:t>
      </w:r>
      <w:r>
        <w:rPr>
          <w:rFonts w:hint="eastAsia" w:ascii="微软雅黑" w:hAnsi="微软雅黑" w:eastAsia="微软雅黑" w:cs="微软雅黑"/>
          <w:kern w:val="2"/>
          <w:sz w:val="21"/>
          <w:szCs w:val="21"/>
        </w:rPr>
        <w:t>违法实施的经营者集中，但不具有排除、限制竞争的效果。本机关按照《</w:t>
      </w:r>
      <w:r>
        <w:rPr>
          <w:rFonts w:hint="eastAsia" w:ascii="微软雅黑" w:hAnsi="微软雅黑" w:eastAsia="微软雅黑" w:cs="微软雅黑"/>
          <w:kern w:val="2"/>
          <w:sz w:val="21"/>
          <w:szCs w:val="21"/>
          <w:lang w:eastAsia="zh-CN"/>
        </w:rPr>
        <w:t>中华人民共和国</w:t>
      </w:r>
      <w:r>
        <w:rPr>
          <w:rFonts w:hint="eastAsia" w:ascii="微软雅黑" w:hAnsi="微软雅黑" w:eastAsia="微软雅黑" w:cs="微软雅黑"/>
          <w:kern w:val="2"/>
          <w:sz w:val="21"/>
          <w:szCs w:val="21"/>
        </w:rPr>
        <w:t>行政处罚法》</w:t>
      </w:r>
      <w:r>
        <w:rPr>
          <w:rFonts w:hint="eastAsia" w:ascii="微软雅黑" w:hAnsi="微软雅黑" w:eastAsia="微软雅黑" w:cs="微软雅黑"/>
          <w:sz w:val="21"/>
          <w:szCs w:val="21"/>
          <w:lang w:eastAsia="zh-CN"/>
        </w:rPr>
        <w:t>（以下简称</w:t>
      </w:r>
      <w:r>
        <w:rPr>
          <w:rFonts w:hint="eastAsia" w:ascii="微软雅黑" w:hAnsi="微软雅黑" w:eastAsia="微软雅黑" w:cs="微软雅黑"/>
          <w:kern w:val="2"/>
          <w:sz w:val="21"/>
          <w:szCs w:val="21"/>
        </w:rPr>
        <w:t>《行政处罚法》</w:t>
      </w:r>
      <w:r>
        <w:rPr>
          <w:rFonts w:hint="eastAsia" w:ascii="微软雅黑" w:hAnsi="微软雅黑" w:eastAsia="微软雅黑" w:cs="微软雅黑"/>
          <w:sz w:val="21"/>
          <w:szCs w:val="21"/>
          <w:lang w:eastAsia="zh-CN"/>
        </w:rPr>
        <w:t>）</w:t>
      </w:r>
      <w:r>
        <w:rPr>
          <w:rFonts w:hint="eastAsia" w:ascii="微软雅黑" w:hAnsi="微软雅黑" w:eastAsia="微软雅黑" w:cs="微软雅黑"/>
          <w:kern w:val="2"/>
          <w:sz w:val="21"/>
          <w:szCs w:val="21"/>
        </w:rPr>
        <w:t>的规定，向</w:t>
      </w:r>
      <w:r>
        <w:rPr>
          <w:rFonts w:hint="eastAsia" w:ascii="微软雅黑" w:hAnsi="微软雅黑" w:eastAsia="微软雅黑" w:cs="微软雅黑"/>
          <w:sz w:val="21"/>
          <w:szCs w:val="21"/>
          <w:lang w:val="en-US" w:eastAsia="zh-CN"/>
        </w:rPr>
        <w:t>饿了么</w:t>
      </w:r>
      <w:r>
        <w:rPr>
          <w:rFonts w:hint="eastAsia" w:ascii="微软雅黑" w:hAnsi="微软雅黑" w:eastAsia="微软雅黑" w:cs="微软雅黑"/>
          <w:kern w:val="2"/>
          <w:sz w:val="21"/>
          <w:szCs w:val="21"/>
        </w:rPr>
        <w:t>送达了《行政处罚告知书》，</w:t>
      </w:r>
      <w:r>
        <w:rPr>
          <w:rFonts w:hint="eastAsia" w:ascii="微软雅黑" w:hAnsi="微软雅黑" w:eastAsia="微软雅黑" w:cs="微软雅黑"/>
          <w:color w:val="auto"/>
          <w:kern w:val="2"/>
          <w:sz w:val="21"/>
          <w:szCs w:val="21"/>
        </w:rPr>
        <w:t>告知</w:t>
      </w:r>
      <w:r>
        <w:rPr>
          <w:rFonts w:hint="eastAsia" w:ascii="微软雅黑" w:hAnsi="微软雅黑" w:eastAsia="微软雅黑" w:cs="微软雅黑"/>
          <w:color w:val="auto"/>
          <w:kern w:val="2"/>
          <w:sz w:val="21"/>
          <w:szCs w:val="21"/>
          <w:lang w:eastAsia="zh-CN"/>
        </w:rPr>
        <w:t>当事人</w:t>
      </w:r>
      <w:r>
        <w:rPr>
          <w:rFonts w:hint="eastAsia" w:ascii="微软雅黑" w:hAnsi="微软雅黑" w:eastAsia="微软雅黑" w:cs="微软雅黑"/>
          <w:color w:val="auto"/>
          <w:kern w:val="2"/>
          <w:sz w:val="21"/>
          <w:szCs w:val="21"/>
        </w:rPr>
        <w:t>拟作出</w:t>
      </w:r>
      <w:r>
        <w:rPr>
          <w:rFonts w:hint="eastAsia" w:ascii="微软雅黑" w:hAnsi="微软雅黑" w:eastAsia="微软雅黑" w:cs="微软雅黑"/>
          <w:color w:val="auto"/>
          <w:kern w:val="2"/>
          <w:sz w:val="21"/>
          <w:szCs w:val="21"/>
          <w:lang w:eastAsia="zh-CN"/>
        </w:rPr>
        <w:t>的</w:t>
      </w:r>
      <w:r>
        <w:rPr>
          <w:rFonts w:hint="eastAsia" w:ascii="微软雅黑" w:hAnsi="微软雅黑" w:eastAsia="微软雅黑" w:cs="微软雅黑"/>
          <w:color w:val="auto"/>
          <w:kern w:val="2"/>
          <w:sz w:val="21"/>
          <w:szCs w:val="21"/>
        </w:rPr>
        <w:t>行政处罚</w:t>
      </w:r>
      <w:r>
        <w:rPr>
          <w:rFonts w:hint="eastAsia" w:ascii="微软雅黑" w:hAnsi="微软雅黑" w:eastAsia="微软雅黑" w:cs="微软雅黑"/>
          <w:color w:val="auto"/>
          <w:kern w:val="2"/>
          <w:sz w:val="21"/>
          <w:szCs w:val="21"/>
          <w:lang w:eastAsia="zh-CN"/>
        </w:rPr>
        <w:t>内容及</w:t>
      </w:r>
      <w:r>
        <w:rPr>
          <w:rFonts w:hint="eastAsia" w:ascii="微软雅黑" w:hAnsi="微软雅黑" w:eastAsia="微软雅黑" w:cs="微软雅黑"/>
          <w:color w:val="auto"/>
          <w:kern w:val="2"/>
          <w:sz w:val="21"/>
          <w:szCs w:val="21"/>
        </w:rPr>
        <w:t>事实、理由、</w:t>
      </w:r>
      <w:r>
        <w:rPr>
          <w:rFonts w:hint="eastAsia" w:ascii="微软雅黑" w:hAnsi="微软雅黑" w:eastAsia="微软雅黑" w:cs="微软雅黑"/>
          <w:color w:val="auto"/>
          <w:kern w:val="2"/>
          <w:sz w:val="21"/>
          <w:szCs w:val="21"/>
          <w:lang w:eastAsia="zh-CN"/>
        </w:rPr>
        <w:t>依据</w:t>
      </w:r>
      <w:r>
        <w:rPr>
          <w:rFonts w:hint="eastAsia" w:ascii="微软雅黑" w:hAnsi="微软雅黑" w:eastAsia="微软雅黑" w:cs="微软雅黑"/>
          <w:color w:val="auto"/>
          <w:kern w:val="2"/>
          <w:sz w:val="21"/>
          <w:szCs w:val="21"/>
        </w:rPr>
        <w:t>，</w:t>
      </w:r>
      <w:r>
        <w:rPr>
          <w:rFonts w:hint="eastAsia" w:ascii="微软雅黑" w:hAnsi="微软雅黑" w:eastAsia="微软雅黑" w:cs="微软雅黑"/>
          <w:color w:val="auto"/>
          <w:kern w:val="2"/>
          <w:sz w:val="21"/>
          <w:szCs w:val="21"/>
          <w:lang w:eastAsia="zh-CN"/>
        </w:rPr>
        <w:t>并告知当事人</w:t>
      </w:r>
      <w:r>
        <w:rPr>
          <w:rFonts w:hint="eastAsia" w:ascii="微软雅黑" w:hAnsi="微软雅黑" w:eastAsia="微软雅黑" w:cs="微软雅黑"/>
          <w:color w:val="auto"/>
          <w:kern w:val="2"/>
          <w:sz w:val="21"/>
          <w:szCs w:val="21"/>
        </w:rPr>
        <w:t>依法享有的陈述、申辩</w:t>
      </w:r>
      <w:r>
        <w:rPr>
          <w:rFonts w:hint="eastAsia" w:ascii="微软雅黑" w:hAnsi="微软雅黑" w:eastAsia="微软雅黑" w:cs="微软雅黑"/>
          <w:color w:val="auto"/>
          <w:kern w:val="2"/>
          <w:sz w:val="21"/>
          <w:szCs w:val="21"/>
          <w:lang w:eastAsia="zh-CN"/>
        </w:rPr>
        <w:t>、</w:t>
      </w:r>
      <w:r>
        <w:rPr>
          <w:rFonts w:hint="eastAsia" w:ascii="微软雅黑" w:hAnsi="微软雅黑" w:eastAsia="微软雅黑" w:cs="微软雅黑"/>
          <w:color w:val="auto"/>
          <w:kern w:val="2"/>
          <w:sz w:val="21"/>
          <w:szCs w:val="21"/>
        </w:rPr>
        <w:t>要求听证</w:t>
      </w:r>
      <w:r>
        <w:rPr>
          <w:rFonts w:hint="eastAsia" w:ascii="微软雅黑" w:hAnsi="微软雅黑" w:eastAsia="微软雅黑" w:cs="微软雅黑"/>
          <w:color w:val="auto"/>
          <w:kern w:val="2"/>
          <w:sz w:val="21"/>
          <w:szCs w:val="21"/>
          <w:lang w:eastAsia="zh-CN"/>
        </w:rPr>
        <w:t>的</w:t>
      </w:r>
      <w:r>
        <w:rPr>
          <w:rFonts w:hint="eastAsia" w:ascii="微软雅黑" w:hAnsi="微软雅黑" w:eastAsia="微软雅黑" w:cs="微软雅黑"/>
          <w:color w:val="auto"/>
          <w:kern w:val="2"/>
          <w:sz w:val="21"/>
          <w:szCs w:val="21"/>
        </w:rPr>
        <w:t>权</w:t>
      </w:r>
      <w:r>
        <w:rPr>
          <w:rFonts w:hint="eastAsia" w:ascii="微软雅黑" w:hAnsi="微软雅黑" w:eastAsia="微软雅黑" w:cs="微软雅黑"/>
          <w:color w:val="auto"/>
          <w:kern w:val="2"/>
          <w:sz w:val="21"/>
          <w:szCs w:val="21"/>
          <w:lang w:eastAsia="zh-CN"/>
        </w:rPr>
        <w:t>利</w:t>
      </w:r>
      <w:r>
        <w:rPr>
          <w:rFonts w:hint="eastAsia" w:ascii="微软雅黑" w:hAnsi="微软雅黑" w:eastAsia="微软雅黑" w:cs="微软雅黑"/>
          <w:color w:val="auto"/>
          <w:kern w:val="2"/>
          <w:sz w:val="21"/>
          <w:szCs w:val="21"/>
        </w:rPr>
        <w:t>。</w:t>
      </w:r>
      <w:r>
        <w:rPr>
          <w:rFonts w:hint="eastAsia" w:ascii="微软雅黑" w:hAnsi="微软雅黑" w:eastAsia="微软雅黑" w:cs="微软雅黑"/>
          <w:sz w:val="21"/>
          <w:szCs w:val="21"/>
          <w:lang w:val="en-US" w:eastAsia="zh-CN"/>
        </w:rPr>
        <w:t>饿了么</w:t>
      </w:r>
      <w:r>
        <w:rPr>
          <w:rFonts w:hint="eastAsia" w:ascii="微软雅黑" w:hAnsi="微软雅黑" w:eastAsia="微软雅黑" w:cs="微软雅黑"/>
          <w:kern w:val="2"/>
          <w:sz w:val="21"/>
          <w:szCs w:val="21"/>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（一）交易方。</w:t>
      </w:r>
    </w:p>
    <w:p>
      <w:pPr>
        <w:pStyle w:val="9"/>
        <w:keepNext w:val="0"/>
        <w:keepLines w:val="0"/>
        <w:pageBreakBefore w:val="0"/>
        <w:widowControl w:val="0"/>
        <w:kinsoku/>
        <w:wordWrap/>
        <w:topLinePunct w:val="0"/>
        <w:bidi w:val="0"/>
        <w:spacing w:line="594" w:lineRule="exact"/>
        <w:ind w:left="0" w:firstLine="643"/>
        <w:textAlignment w:val="auto"/>
        <w:rPr>
          <w:rFonts w:hint="eastAsia" w:ascii="微软雅黑" w:hAnsi="微软雅黑" w:eastAsia="微软雅黑" w:cs="微软雅黑"/>
          <w:b w:val="0"/>
          <w:bCs/>
          <w:sz w:val="21"/>
          <w:szCs w:val="21"/>
          <w:u w:val="none"/>
          <w:lang w:eastAsia="zh-CN"/>
        </w:rPr>
      </w:pPr>
      <w:r>
        <w:rPr>
          <w:rFonts w:hint="eastAsia" w:ascii="微软雅黑" w:hAnsi="微软雅黑" w:eastAsia="微软雅黑" w:cs="微软雅黑"/>
          <w:b/>
          <w:sz w:val="21"/>
          <w:szCs w:val="21"/>
          <w:u w:val="none"/>
          <w:lang w:eastAsia="zh-CN"/>
        </w:rPr>
        <w:t>收购方：</w:t>
      </w:r>
      <w:bookmarkStart w:id="1" w:name="OLE_LINK10"/>
      <w:r>
        <w:rPr>
          <w:rFonts w:hint="eastAsia" w:ascii="微软雅黑" w:hAnsi="微软雅黑" w:eastAsia="微软雅黑" w:cs="微软雅黑"/>
          <w:b/>
          <w:sz w:val="21"/>
          <w:szCs w:val="21"/>
          <w:u w:val="none"/>
          <w:lang w:val="en-US" w:eastAsia="zh-CN"/>
        </w:rPr>
        <w:t>饿了么</w:t>
      </w:r>
      <w:bookmarkEnd w:id="1"/>
      <w:r>
        <w:rPr>
          <w:rFonts w:hint="eastAsia" w:ascii="微软雅黑" w:hAnsi="微软雅黑" w:eastAsia="微软雅黑" w:cs="微软雅黑"/>
          <w:b/>
          <w:sz w:val="21"/>
          <w:szCs w:val="21"/>
          <w:u w:val="none"/>
          <w:lang w:eastAsia="zh-CN"/>
        </w:rPr>
        <w:t>。</w:t>
      </w:r>
      <w:r>
        <w:rPr>
          <w:rFonts w:hint="eastAsia" w:ascii="微软雅黑" w:hAnsi="微软雅黑" w:eastAsia="微软雅黑" w:cs="微软雅黑"/>
          <w:b w:val="0"/>
          <w:bCs/>
          <w:sz w:val="21"/>
          <w:szCs w:val="21"/>
          <w:u w:val="none"/>
          <w:lang w:eastAsia="zh-CN"/>
        </w:rPr>
        <w:t>201</w:t>
      </w:r>
      <w:r>
        <w:rPr>
          <w:rFonts w:hint="eastAsia" w:ascii="微软雅黑" w:hAnsi="微软雅黑" w:eastAsia="微软雅黑" w:cs="微软雅黑"/>
          <w:b w:val="0"/>
          <w:bCs/>
          <w:sz w:val="21"/>
          <w:szCs w:val="21"/>
          <w:u w:val="none"/>
          <w:lang w:val="en-US" w:eastAsia="zh-CN"/>
        </w:rPr>
        <w:t>1</w:t>
      </w:r>
      <w:r>
        <w:rPr>
          <w:rFonts w:hint="eastAsia" w:ascii="微软雅黑" w:hAnsi="微软雅黑" w:eastAsia="微软雅黑" w:cs="微软雅黑"/>
          <w:b w:val="0"/>
          <w:bCs/>
          <w:sz w:val="21"/>
          <w:szCs w:val="21"/>
          <w:u w:val="none"/>
          <w:lang w:eastAsia="zh-CN"/>
        </w:rPr>
        <w:t>年于英属开曼群岛注册成立，主要从事</w:t>
      </w:r>
      <w:bookmarkStart w:id="2" w:name="OLE_LINK21"/>
      <w:r>
        <w:rPr>
          <w:rFonts w:hint="eastAsia" w:ascii="微软雅黑" w:hAnsi="微软雅黑" w:eastAsia="微软雅黑" w:cs="微软雅黑"/>
          <w:b w:val="0"/>
          <w:bCs/>
          <w:sz w:val="21"/>
          <w:szCs w:val="21"/>
          <w:u w:val="none"/>
          <w:lang w:eastAsia="zh-CN"/>
        </w:rPr>
        <w:t>外卖订餐业务</w:t>
      </w:r>
      <w:bookmarkEnd w:id="2"/>
      <w:r>
        <w:rPr>
          <w:rFonts w:hint="eastAsia" w:ascii="微软雅黑" w:hAnsi="微软雅黑" w:eastAsia="微软雅黑" w:cs="微软雅黑"/>
          <w:b w:val="0"/>
          <w:bCs/>
          <w:sz w:val="21"/>
          <w:szCs w:val="21"/>
          <w:u w:val="none"/>
          <w:lang w:eastAsia="zh-CN"/>
        </w:rPr>
        <w:t>。201</w:t>
      </w:r>
      <w:r>
        <w:rPr>
          <w:rFonts w:hint="eastAsia" w:ascii="微软雅黑" w:hAnsi="微软雅黑" w:eastAsia="微软雅黑" w:cs="微软雅黑"/>
          <w:b w:val="0"/>
          <w:bCs/>
          <w:sz w:val="21"/>
          <w:szCs w:val="21"/>
          <w:u w:val="none"/>
          <w:lang w:val="en-US" w:eastAsia="zh-CN"/>
        </w:rPr>
        <w:t>6</w:t>
      </w:r>
      <w:r>
        <w:rPr>
          <w:rFonts w:hint="eastAsia" w:ascii="微软雅黑" w:hAnsi="微软雅黑" w:eastAsia="微软雅黑" w:cs="微软雅黑"/>
          <w:b w:val="0"/>
          <w:bCs/>
          <w:sz w:val="21"/>
          <w:szCs w:val="21"/>
          <w:u w:val="none"/>
          <w:lang w:eastAsia="zh-CN"/>
        </w:rPr>
        <w:t>年，全球和中国境内营业额均为</w:t>
      </w:r>
      <w:r>
        <w:rPr>
          <w:rFonts w:hint="eastAsia" w:ascii="微软雅黑" w:hAnsi="微软雅黑" w:eastAsia="微软雅黑" w:cs="微软雅黑"/>
          <w:b w:val="0"/>
          <w:bCs/>
          <w:sz w:val="21"/>
          <w:szCs w:val="21"/>
          <w:u w:val="none"/>
          <w:lang w:eastAsia="zh-CN"/>
        </w:rPr>
        <w:t>（略）</w:t>
      </w:r>
      <w:r>
        <w:rPr>
          <w:rFonts w:hint="eastAsia" w:ascii="微软雅黑" w:hAnsi="微软雅黑" w:eastAsia="微软雅黑" w:cs="微软雅黑"/>
          <w:b w:val="0"/>
          <w:bCs/>
          <w:sz w:val="21"/>
          <w:szCs w:val="21"/>
          <w:u w:val="none"/>
          <w:lang w:val="en-US" w:eastAsia="zh-CN"/>
        </w:rPr>
        <w:t>亿元</w:t>
      </w:r>
      <w:r>
        <w:rPr>
          <w:rFonts w:hint="eastAsia" w:ascii="微软雅黑" w:hAnsi="微软雅黑" w:eastAsia="微软雅黑" w:cs="微软雅黑"/>
          <w:b w:val="0"/>
          <w:bCs/>
          <w:sz w:val="21"/>
          <w:szCs w:val="21"/>
          <w:u w:val="none"/>
          <w:lang w:eastAsia="zh-CN"/>
        </w:rPr>
        <w:t>人民币（币种下同）。</w:t>
      </w:r>
    </w:p>
    <w:p>
      <w:pPr>
        <w:pStyle w:val="9"/>
        <w:keepNext w:val="0"/>
        <w:keepLines w:val="0"/>
        <w:pageBreakBefore w:val="0"/>
        <w:widowControl w:val="0"/>
        <w:kinsoku/>
        <w:wordWrap/>
        <w:topLinePunct w:val="0"/>
        <w:bidi w:val="0"/>
        <w:spacing w:line="594" w:lineRule="exact"/>
        <w:ind w:left="0" w:firstLine="643"/>
        <w:textAlignment w:val="auto"/>
        <w:rPr>
          <w:rFonts w:hint="eastAsia" w:ascii="微软雅黑" w:hAnsi="微软雅黑" w:eastAsia="微软雅黑" w:cs="微软雅黑"/>
          <w:b w:val="0"/>
          <w:bCs/>
          <w:sz w:val="21"/>
          <w:szCs w:val="21"/>
          <w:u w:val="none"/>
          <w:lang w:eastAsia="zh-CN"/>
        </w:rPr>
      </w:pPr>
      <w:r>
        <w:rPr>
          <w:rFonts w:hint="eastAsia" w:ascii="微软雅黑" w:hAnsi="微软雅黑" w:eastAsia="微软雅黑" w:cs="微软雅黑"/>
          <w:b/>
          <w:sz w:val="21"/>
          <w:szCs w:val="21"/>
          <w:u w:val="none"/>
          <w:lang w:eastAsia="zh-CN"/>
        </w:rPr>
        <w:t>被收购方：</w:t>
      </w:r>
      <w:r>
        <w:rPr>
          <w:rFonts w:hint="eastAsia" w:ascii="微软雅黑" w:hAnsi="微软雅黑" w:eastAsia="微软雅黑" w:cs="微软雅黑"/>
          <w:b/>
          <w:sz w:val="21"/>
          <w:szCs w:val="21"/>
          <w:u w:val="none"/>
          <w:lang w:val="en-US" w:eastAsia="zh-CN"/>
        </w:rPr>
        <w:t>百度外卖</w:t>
      </w:r>
      <w:r>
        <w:rPr>
          <w:rFonts w:hint="eastAsia" w:ascii="微软雅黑" w:hAnsi="微软雅黑" w:eastAsia="微软雅黑" w:cs="微软雅黑"/>
          <w:b/>
          <w:sz w:val="21"/>
          <w:szCs w:val="21"/>
          <w:u w:val="none"/>
          <w:lang w:eastAsia="zh-CN"/>
        </w:rPr>
        <w:t>。</w:t>
      </w:r>
      <w:r>
        <w:rPr>
          <w:rFonts w:hint="eastAsia" w:ascii="微软雅黑" w:hAnsi="微软雅黑" w:eastAsia="微软雅黑" w:cs="微软雅黑"/>
          <w:b w:val="0"/>
          <w:bCs/>
          <w:sz w:val="21"/>
          <w:szCs w:val="21"/>
          <w:u w:val="none"/>
          <w:lang w:eastAsia="zh-CN"/>
        </w:rPr>
        <w:t>201</w:t>
      </w:r>
      <w:r>
        <w:rPr>
          <w:rFonts w:hint="eastAsia" w:ascii="微软雅黑" w:hAnsi="微软雅黑" w:eastAsia="微软雅黑" w:cs="微软雅黑"/>
          <w:b w:val="0"/>
          <w:bCs/>
          <w:sz w:val="21"/>
          <w:szCs w:val="21"/>
          <w:u w:val="none"/>
          <w:lang w:val="en-US" w:eastAsia="zh-CN"/>
        </w:rPr>
        <w:t>5</w:t>
      </w:r>
      <w:r>
        <w:rPr>
          <w:rFonts w:hint="eastAsia" w:ascii="微软雅黑" w:hAnsi="微软雅黑" w:eastAsia="微软雅黑" w:cs="微软雅黑"/>
          <w:b w:val="0"/>
          <w:bCs/>
          <w:sz w:val="21"/>
          <w:szCs w:val="21"/>
          <w:u w:val="none"/>
          <w:lang w:eastAsia="zh-CN"/>
        </w:rPr>
        <w:t>年于香港注册成立，主要从事外卖订餐业务。201</w:t>
      </w:r>
      <w:r>
        <w:rPr>
          <w:rFonts w:hint="eastAsia" w:ascii="微软雅黑" w:hAnsi="微软雅黑" w:eastAsia="微软雅黑" w:cs="微软雅黑"/>
          <w:b w:val="0"/>
          <w:bCs/>
          <w:sz w:val="21"/>
          <w:szCs w:val="21"/>
          <w:u w:val="none"/>
          <w:lang w:val="en-US" w:eastAsia="zh-CN"/>
        </w:rPr>
        <w:t>6</w:t>
      </w:r>
      <w:r>
        <w:rPr>
          <w:rFonts w:hint="eastAsia" w:ascii="微软雅黑" w:hAnsi="微软雅黑" w:eastAsia="微软雅黑" w:cs="微软雅黑"/>
          <w:b w:val="0"/>
          <w:bCs/>
          <w:sz w:val="21"/>
          <w:szCs w:val="21"/>
          <w:u w:val="none"/>
          <w:lang w:eastAsia="zh-CN"/>
        </w:rPr>
        <w:t>年</w:t>
      </w:r>
      <w:r>
        <w:rPr>
          <w:rFonts w:hint="eastAsia" w:ascii="微软雅黑" w:hAnsi="微软雅黑" w:eastAsia="微软雅黑" w:cs="微软雅黑"/>
          <w:b w:val="0"/>
          <w:bCs/>
          <w:sz w:val="21"/>
          <w:szCs w:val="21"/>
          <w:u w:val="none"/>
          <w:lang w:eastAsia="zh-CN"/>
        </w:rPr>
        <w:t>，</w:t>
      </w:r>
      <w:r>
        <w:rPr>
          <w:rFonts w:hint="eastAsia" w:ascii="微软雅黑" w:hAnsi="微软雅黑" w:eastAsia="微软雅黑" w:cs="微软雅黑"/>
          <w:b w:val="0"/>
          <w:bCs/>
          <w:sz w:val="21"/>
          <w:szCs w:val="21"/>
          <w:u w:val="none"/>
          <w:lang w:eastAsia="zh-CN"/>
        </w:rPr>
        <w:t>全球和中国</w:t>
      </w:r>
      <w:r>
        <w:rPr>
          <w:rFonts w:hint="eastAsia" w:ascii="微软雅黑" w:hAnsi="微软雅黑" w:eastAsia="微软雅黑" w:cs="微软雅黑"/>
          <w:b w:val="0"/>
          <w:bCs/>
          <w:sz w:val="21"/>
          <w:szCs w:val="21"/>
          <w:u w:val="none"/>
          <w:lang w:val="en-US" w:eastAsia="zh-CN"/>
        </w:rPr>
        <w:t>境内</w:t>
      </w:r>
      <w:r>
        <w:rPr>
          <w:rFonts w:hint="eastAsia" w:ascii="微软雅黑" w:hAnsi="微软雅黑" w:eastAsia="微软雅黑" w:cs="微软雅黑"/>
          <w:b w:val="0"/>
          <w:bCs/>
          <w:sz w:val="21"/>
          <w:szCs w:val="21"/>
          <w:u w:val="none"/>
          <w:lang w:eastAsia="zh-CN"/>
        </w:rPr>
        <w:t>营业额均为</w:t>
      </w:r>
      <w:r>
        <w:rPr>
          <w:rFonts w:hint="eastAsia" w:ascii="微软雅黑" w:hAnsi="微软雅黑" w:eastAsia="微软雅黑" w:cs="微软雅黑"/>
          <w:b w:val="0"/>
          <w:bCs/>
          <w:sz w:val="21"/>
          <w:szCs w:val="21"/>
          <w:u w:val="none"/>
          <w:lang w:eastAsia="zh-CN"/>
        </w:rPr>
        <w:t>（略）</w:t>
      </w:r>
      <w:r>
        <w:rPr>
          <w:rFonts w:hint="eastAsia" w:ascii="微软雅黑" w:hAnsi="微软雅黑" w:eastAsia="微软雅黑" w:cs="微软雅黑"/>
          <w:b w:val="0"/>
          <w:bCs/>
          <w:sz w:val="21"/>
          <w:szCs w:val="21"/>
          <w:u w:val="none"/>
          <w:lang w:eastAsia="zh-CN"/>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（二）交易概况。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jc w:val="both"/>
        <w:textAlignment w:val="auto"/>
        <w:rPr>
          <w:rFonts w:hint="eastAsia" w:ascii="微软雅黑" w:hAnsi="微软雅黑" w:eastAsia="微软雅黑" w:cs="微软雅黑"/>
          <w:kern w:val="2"/>
          <w:sz w:val="21"/>
          <w:szCs w:val="21"/>
          <w:lang w:val="en-US" w:eastAsia="zh-CN" w:bidi="ar-SA"/>
        </w:rPr>
      </w:pPr>
      <w:bookmarkStart w:id="3" w:name="OLE_LINK29"/>
      <w:bookmarkStart w:id="4" w:name="OLE_LINK24"/>
      <w:bookmarkStart w:id="5" w:name="OLE_LINK11"/>
      <w:r>
        <w:rPr>
          <w:rFonts w:hint="eastAsia" w:ascii="微软雅黑" w:hAnsi="微软雅黑" w:eastAsia="微软雅黑" w:cs="微软雅黑"/>
          <w:kern w:val="2"/>
          <w:sz w:val="21"/>
          <w:szCs w:val="21"/>
          <w:lang w:val="en-US" w:eastAsia="zh-CN" w:bidi="ar-SA"/>
        </w:rPr>
        <w:t>2017年8月24日，饿了么与百度外卖签署交易协议，以现金股份混合的方式收购其100%股权，并于同日完成股权变更登记手续。交易完成后，饿了么单独控制百度外卖。</w:t>
      </w:r>
    </w:p>
    <w:bookmarkEnd w:id="3"/>
    <w:bookmarkEnd w:id="4"/>
    <w:bookmarkEnd w:id="5"/>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（一）本案构成未依法申报违法实施的经营者集中。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left="0" w:firstLine="408"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《反垄断法》第二十条</w:t>
      </w:r>
      <w:r>
        <w:rPr>
          <w:rFonts w:hint="eastAsia" w:ascii="微软雅黑" w:hAnsi="微软雅黑" w:eastAsia="微软雅黑" w:cs="微软雅黑"/>
          <w:sz w:val="21"/>
          <w:szCs w:val="21"/>
          <w:lang w:eastAsia="zh-CN"/>
        </w:rPr>
        <w:t>规定</w:t>
      </w:r>
      <w:r>
        <w:rPr>
          <w:rFonts w:hint="eastAsia" w:ascii="微软雅黑" w:hAnsi="微软雅黑" w:eastAsia="微软雅黑" w:cs="微软雅黑"/>
          <w:sz w:val="21"/>
          <w:szCs w:val="21"/>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bookmarkStart w:id="6" w:name="OLE_LINK48"/>
      <w:bookmarkStart w:id="7" w:name="OLE_LINK25"/>
      <w:r>
        <w:rPr>
          <w:rFonts w:hint="eastAsia" w:ascii="微软雅黑" w:hAnsi="微软雅黑" w:eastAsia="微软雅黑" w:cs="微软雅黑"/>
          <w:kern w:val="2"/>
          <w:sz w:val="21"/>
          <w:szCs w:val="21"/>
          <w:lang w:val="en-US" w:eastAsia="zh-CN" w:bidi="ar-SA"/>
        </w:rPr>
        <w:t>2017年8月24日</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bCs/>
          <w:sz w:val="21"/>
          <w:szCs w:val="21"/>
          <w:lang w:eastAsia="zh-CN"/>
        </w:rPr>
        <w:t>饿了么</w:t>
      </w:r>
      <w:r>
        <w:rPr>
          <w:rFonts w:hint="eastAsia" w:ascii="微软雅黑" w:hAnsi="微软雅黑" w:eastAsia="微软雅黑" w:cs="微软雅黑"/>
          <w:bCs/>
          <w:sz w:val="21"/>
          <w:szCs w:val="21"/>
          <w:lang w:val="en-US" w:eastAsia="zh-CN"/>
        </w:rPr>
        <w:t>收购百度外卖100%股权</w:t>
      </w:r>
      <w:r>
        <w:rPr>
          <w:rFonts w:hint="eastAsia" w:ascii="微软雅黑" w:hAnsi="微软雅黑" w:eastAsia="微软雅黑" w:cs="微软雅黑"/>
          <w:bCs/>
          <w:sz w:val="21"/>
          <w:szCs w:val="21"/>
          <w:lang w:eastAsia="zh-CN"/>
        </w:rPr>
        <w:t>，取得其单独控制权，</w:t>
      </w:r>
      <w:r>
        <w:rPr>
          <w:rFonts w:hint="eastAsia" w:ascii="微软雅黑" w:hAnsi="微软雅黑" w:eastAsia="微软雅黑" w:cs="微软雅黑"/>
          <w:sz w:val="21"/>
          <w:szCs w:val="21"/>
          <w:lang w:val="en-US" w:eastAsia="zh-CN"/>
        </w:rPr>
        <w:t>属于《反垄断法》第二十条规定的经营者集中。</w:t>
      </w:r>
      <w:bookmarkEnd w:id="6"/>
      <w:bookmarkEnd w:id="7"/>
    </w:p>
    <w:p>
      <w:pPr>
        <w:keepNext w:val="0"/>
        <w:keepLines w:val="0"/>
        <w:pageBreakBefore w:val="0"/>
        <w:widowControl w:val="0"/>
        <w:kinsoku/>
        <w:wordWrap/>
        <w:topLinePunct w:val="0"/>
        <w:bidi w:val="0"/>
        <w:spacing w:line="594" w:lineRule="exact"/>
        <w:ind w:firstLine="408" w:firstLineChars="200"/>
        <w:textAlignment w:val="auto"/>
        <w:rPr>
          <w:rFonts w:hint="eastAsia" w:ascii="微软雅黑" w:hAnsi="微软雅黑" w:eastAsia="微软雅黑" w:cs="微软雅黑"/>
          <w:kern w:val="2"/>
          <w:sz w:val="21"/>
          <w:szCs w:val="21"/>
        </w:rPr>
      </w:pPr>
      <w:bookmarkStart w:id="8" w:name="OLE_LINK26"/>
      <w:bookmarkStart w:id="9" w:name="OLE_LINK49"/>
      <w:r>
        <w:rPr>
          <w:rFonts w:hint="eastAsia" w:ascii="微软雅黑" w:hAnsi="微软雅黑" w:eastAsia="微软雅黑" w:cs="微软雅黑"/>
          <w:kern w:val="2"/>
          <w:sz w:val="21"/>
          <w:szCs w:val="21"/>
          <w:lang w:eastAsia="zh-CN"/>
        </w:rPr>
        <w:t>饿了么2016年全球和中国营业额均为（略）；百度外卖2016年全球和中国境内营业额均为（略），达到《国务院关于经营者集中申报标准的规定》第三条规定的申报标准，属于应当申报的情形。</w:t>
      </w:r>
      <w:bookmarkEnd w:id="8"/>
      <w:bookmarkEnd w:id="9"/>
    </w:p>
    <w:p>
      <w:pPr>
        <w:keepNext w:val="0"/>
        <w:keepLines w:val="0"/>
        <w:pageBreakBefore w:val="0"/>
        <w:widowControl w:val="0"/>
        <w:kinsoku/>
        <w:wordWrap/>
        <w:topLinePunct w:val="0"/>
        <w:bidi w:val="0"/>
        <w:spacing w:line="594" w:lineRule="exact"/>
        <w:ind w:firstLine="400" w:firstLineChars="196"/>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sz w:val="21"/>
          <w:szCs w:val="21"/>
        </w:rPr>
        <w:t>《反垄断法》第二十一条</w:t>
      </w:r>
      <w:r>
        <w:rPr>
          <w:rFonts w:hint="eastAsia" w:ascii="微软雅黑" w:hAnsi="微软雅黑" w:eastAsia="微软雅黑" w:cs="微软雅黑"/>
          <w:sz w:val="21"/>
          <w:szCs w:val="21"/>
          <w:lang w:eastAsia="zh-CN"/>
        </w:rPr>
        <w:t>规定“经营者集中达到国务院规定的申报标准的，经营者应当事先向国务院反垄断执法机构申报，未申报的不得实施集中”。</w:t>
      </w:r>
      <w:bookmarkStart w:id="10" w:name="OLE_LINK27"/>
      <w:r>
        <w:rPr>
          <w:rFonts w:hint="eastAsia" w:ascii="微软雅黑" w:hAnsi="微软雅黑" w:eastAsia="微软雅黑" w:cs="微软雅黑"/>
          <w:sz w:val="21"/>
          <w:szCs w:val="21"/>
          <w:lang w:eastAsia="zh-CN"/>
        </w:rPr>
        <w:t>2017年8月24日，百度外卖完成股权变更登记手续，</w:t>
      </w:r>
      <w:r>
        <w:rPr>
          <w:rFonts w:hint="eastAsia" w:ascii="微软雅黑" w:hAnsi="微软雅黑" w:eastAsia="微软雅黑" w:cs="微软雅黑"/>
          <w:sz w:val="21"/>
          <w:szCs w:val="21"/>
          <w:lang w:val="en-US" w:eastAsia="zh-CN"/>
        </w:rPr>
        <w:t>在此之前</w:t>
      </w:r>
      <w:r>
        <w:rPr>
          <w:rFonts w:hint="eastAsia" w:ascii="微软雅黑" w:hAnsi="微软雅黑" w:eastAsia="微软雅黑" w:cs="微软雅黑"/>
          <w:sz w:val="21"/>
          <w:szCs w:val="21"/>
          <w:lang w:val="en-US" w:eastAsia="zh-CN"/>
        </w:rPr>
        <w:t>未依法申报</w:t>
      </w:r>
      <w:r>
        <w:rPr>
          <w:rFonts w:hint="eastAsia" w:ascii="微软雅黑" w:hAnsi="微软雅黑" w:eastAsia="微软雅黑" w:cs="微软雅黑"/>
          <w:sz w:val="21"/>
          <w:szCs w:val="21"/>
          <w:lang w:val="en-US" w:eastAsia="zh-CN"/>
        </w:rPr>
        <w:t>，违反《反垄断法》第二十一条，构成未依法申报违法实施的经营者集中。</w:t>
      </w:r>
      <w:bookmarkEnd w:id="10"/>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（二）本案不具有排除、限制竞争的效果。</w:t>
      </w:r>
    </w:p>
    <w:p>
      <w:pPr>
        <w:keepNext w:val="0"/>
        <w:keepLines w:val="0"/>
        <w:pageBreakBefore w:val="0"/>
        <w:widowControl w:val="0"/>
        <w:kinsoku/>
        <w:wordWrap/>
        <w:topLinePunct w:val="0"/>
        <w:bidi w:val="0"/>
        <w:spacing w:line="594" w:lineRule="exact"/>
        <w:ind w:firstLine="408" w:firstLineChars="200"/>
        <w:textAlignment w:val="auto"/>
        <w:outlineLvl w:val="0"/>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本机关就</w:t>
      </w:r>
      <w:r>
        <w:rPr>
          <w:rFonts w:hint="eastAsia" w:ascii="微软雅黑" w:hAnsi="微软雅黑" w:eastAsia="微软雅黑" w:cs="微软雅黑"/>
          <w:bCs/>
          <w:sz w:val="21"/>
          <w:szCs w:val="21"/>
          <w:lang w:eastAsia="zh-CN"/>
        </w:rPr>
        <w:t>饿了么</w:t>
      </w:r>
      <w:r>
        <w:rPr>
          <w:rFonts w:hint="eastAsia" w:ascii="微软雅黑" w:hAnsi="微软雅黑" w:eastAsia="微软雅黑" w:cs="微软雅黑"/>
          <w:bCs/>
          <w:sz w:val="21"/>
          <w:szCs w:val="21"/>
          <w:lang w:val="en-US" w:eastAsia="zh-CN"/>
        </w:rPr>
        <w:t>收购百度外卖</w:t>
      </w:r>
      <w:r>
        <w:rPr>
          <w:rFonts w:hint="eastAsia" w:ascii="微软雅黑" w:hAnsi="微软雅黑" w:eastAsia="微软雅黑" w:cs="微软雅黑"/>
          <w:kern w:val="2"/>
          <w:sz w:val="21"/>
          <w:szCs w:val="21"/>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三、行政处罚依据和决定</w:t>
      </w:r>
    </w:p>
    <w:p>
      <w:pPr>
        <w:keepNext w:val="0"/>
        <w:keepLines w:val="0"/>
        <w:pageBreakBefore w:val="0"/>
        <w:widowControl w:val="0"/>
        <w:kinsoku/>
        <w:wordWrap/>
        <w:topLinePunct w:val="0"/>
        <w:bidi w:val="0"/>
        <w:spacing w:line="594" w:lineRule="exact"/>
        <w:ind w:firstLine="400" w:firstLineChars="196"/>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rPr>
        <w:t>《反垄断法》第四十八条</w:t>
      </w:r>
      <w:r>
        <w:rPr>
          <w:rFonts w:hint="eastAsia" w:ascii="微软雅黑" w:hAnsi="微软雅黑" w:eastAsia="微软雅黑" w:cs="微软雅黑"/>
          <w:bCs/>
          <w:color w:val="000000"/>
          <w:kern w:val="2"/>
          <w:sz w:val="21"/>
          <w:szCs w:val="21"/>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eastAsia" w:ascii="微软雅黑" w:hAnsi="微软雅黑" w:eastAsia="微软雅黑" w:cs="微软雅黑"/>
          <w:bCs/>
          <w:color w:val="000000"/>
          <w:kern w:val="2"/>
          <w:sz w:val="21"/>
          <w:szCs w:val="21"/>
        </w:rPr>
        <w:t>《反垄断法》第四十九条</w:t>
      </w:r>
      <w:r>
        <w:rPr>
          <w:rFonts w:hint="eastAsia" w:ascii="微软雅黑" w:hAnsi="微软雅黑" w:eastAsia="微软雅黑" w:cs="微软雅黑"/>
          <w:bCs/>
          <w:color w:val="000000"/>
          <w:kern w:val="2"/>
          <w:sz w:val="21"/>
          <w:szCs w:val="21"/>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rPr>
        <w:t>根据</w:t>
      </w:r>
      <w:r>
        <w:rPr>
          <w:rFonts w:hint="eastAsia" w:ascii="微软雅黑" w:hAnsi="微软雅黑" w:eastAsia="微软雅黑" w:cs="微软雅黑"/>
          <w:bCs/>
          <w:color w:val="000000"/>
          <w:kern w:val="2"/>
          <w:sz w:val="21"/>
          <w:szCs w:val="21"/>
          <w:lang w:eastAsia="zh-CN"/>
        </w:rPr>
        <w:t>上述规定，</w:t>
      </w:r>
      <w:r>
        <w:rPr>
          <w:rFonts w:hint="eastAsia" w:ascii="微软雅黑" w:hAnsi="微软雅黑" w:eastAsia="微软雅黑" w:cs="微软雅黑"/>
          <w:bCs/>
          <w:color w:val="000000"/>
          <w:kern w:val="2"/>
          <w:sz w:val="21"/>
          <w:szCs w:val="21"/>
        </w:rPr>
        <w:t>基于调查</w:t>
      </w:r>
      <w:r>
        <w:rPr>
          <w:rFonts w:hint="eastAsia" w:ascii="微软雅黑" w:hAnsi="微软雅黑" w:eastAsia="微软雅黑" w:cs="微软雅黑"/>
          <w:bCs/>
          <w:color w:val="000000"/>
          <w:kern w:val="2"/>
          <w:sz w:val="21"/>
          <w:szCs w:val="21"/>
          <w:lang w:eastAsia="zh-CN"/>
        </w:rPr>
        <w:t>情况和评估结论，本机关</w:t>
      </w:r>
      <w:r>
        <w:rPr>
          <w:rFonts w:hint="eastAsia" w:ascii="微软雅黑" w:hAnsi="微软雅黑" w:eastAsia="微软雅黑" w:cs="微软雅黑"/>
          <w:bCs/>
          <w:color w:val="000000"/>
          <w:kern w:val="2"/>
          <w:sz w:val="21"/>
          <w:szCs w:val="21"/>
          <w:lang w:val="en-US" w:eastAsia="zh-CN"/>
        </w:rPr>
        <w:t>决定</w:t>
      </w:r>
      <w:r>
        <w:rPr>
          <w:rFonts w:hint="eastAsia" w:ascii="微软雅黑" w:hAnsi="微软雅黑" w:eastAsia="微软雅黑" w:cs="微软雅黑"/>
          <w:bCs/>
          <w:color w:val="000000"/>
          <w:kern w:val="2"/>
          <w:sz w:val="21"/>
          <w:szCs w:val="21"/>
          <w:lang w:eastAsia="zh-CN"/>
        </w:rPr>
        <w:t>给予</w:t>
      </w:r>
      <w:r>
        <w:rPr>
          <w:rFonts w:hint="eastAsia" w:ascii="微软雅黑" w:hAnsi="微软雅黑" w:eastAsia="微软雅黑" w:cs="微软雅黑"/>
          <w:bCs/>
          <w:color w:val="000000"/>
          <w:kern w:val="2"/>
          <w:sz w:val="21"/>
          <w:szCs w:val="21"/>
          <w:lang w:val="en-US" w:eastAsia="zh-CN"/>
        </w:rPr>
        <w:t>饿了么</w:t>
      </w:r>
      <w:r>
        <w:rPr>
          <w:rFonts w:hint="eastAsia" w:ascii="微软雅黑" w:hAnsi="微软雅黑" w:eastAsia="微软雅黑" w:cs="微软雅黑"/>
          <w:bCs/>
          <w:color w:val="000000"/>
          <w:kern w:val="2"/>
          <w:sz w:val="21"/>
          <w:szCs w:val="21"/>
          <w:lang w:val="en-US" w:eastAsia="zh-CN"/>
        </w:rPr>
        <w:t>5</w:t>
      </w:r>
      <w:r>
        <w:rPr>
          <w:rFonts w:hint="eastAsia" w:ascii="微软雅黑" w:hAnsi="微软雅黑" w:eastAsia="微软雅黑" w:cs="微软雅黑"/>
          <w:bCs/>
          <w:color w:val="000000"/>
          <w:kern w:val="2"/>
          <w:sz w:val="21"/>
          <w:szCs w:val="21"/>
          <w:lang w:eastAsia="zh-CN"/>
        </w:rPr>
        <w:t>0万元罚款的行政处罚。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lang w:eastAsia="zh-CN"/>
        </w:rPr>
        <w:t>《行政处罚法》第六十七条规定“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color w:val="000000"/>
          <w:kern w:val="2"/>
          <w:sz w:val="21"/>
          <w:szCs w:val="21"/>
          <w:highlight w:val="yellow"/>
          <w:lang w:eastAsia="zh-CN"/>
        </w:rPr>
      </w:pPr>
      <w:r>
        <w:rPr>
          <w:rFonts w:hint="eastAsia" w:ascii="微软雅黑" w:hAnsi="微软雅黑" w:eastAsia="微软雅黑" w:cs="微软雅黑"/>
          <w:bCs/>
          <w:color w:val="000000"/>
          <w:kern w:val="2"/>
          <w:sz w:val="21"/>
          <w:szCs w:val="21"/>
          <w:lang w:eastAsia="zh-CN"/>
        </w:rPr>
        <w:t>当事人</w:t>
      </w:r>
      <w:r>
        <w:rPr>
          <w:rFonts w:hint="eastAsia" w:ascii="微软雅黑" w:hAnsi="微软雅黑" w:eastAsia="微软雅黑" w:cs="微软雅黑"/>
          <w:bCs/>
          <w:color w:val="000000"/>
          <w:kern w:val="2"/>
          <w:sz w:val="21"/>
          <w:szCs w:val="21"/>
          <w:lang w:eastAsia="zh-CN"/>
        </w:rPr>
        <w:t>应当自收到本行政处罚决定书之日起十五日内，携缴款码到</w:t>
      </w:r>
      <w:r>
        <w:rPr>
          <w:rFonts w:hint="eastAsia" w:ascii="微软雅黑" w:hAnsi="微软雅黑" w:eastAsia="微软雅黑" w:cs="微软雅黑"/>
          <w:bCs/>
          <w:color w:val="000000"/>
          <w:kern w:val="2"/>
          <w:sz w:val="21"/>
          <w:szCs w:val="21"/>
          <w:lang w:val="en-US" w:eastAsia="zh-CN"/>
        </w:rPr>
        <w:t>1</w:t>
      </w:r>
      <w:r>
        <w:rPr>
          <w:rFonts w:hint="eastAsia" w:ascii="微软雅黑" w:hAnsi="微软雅黑" w:eastAsia="微软雅黑" w:cs="微软雅黑"/>
          <w:bCs/>
          <w:color w:val="000000"/>
          <w:kern w:val="2"/>
          <w:sz w:val="21"/>
          <w:szCs w:val="21"/>
          <w:lang w:val="en-US" w:eastAsia="zh-CN"/>
        </w:rPr>
        <w:t>5</w:t>
      </w:r>
      <w:r>
        <w:rPr>
          <w:rFonts w:hint="eastAsia" w:ascii="微软雅黑" w:hAnsi="微软雅黑" w:eastAsia="微软雅黑" w:cs="微软雅黑"/>
          <w:bCs/>
          <w:color w:val="000000"/>
          <w:kern w:val="2"/>
          <w:sz w:val="21"/>
          <w:szCs w:val="21"/>
          <w:lang w:val="en-US" w:eastAsia="zh-CN"/>
        </w:rPr>
        <w:t>家中央财政非税收入收缴代理银行（工、农、中、建、交、中信、光大、招商、邮储、华夏、平安、兴业</w:t>
      </w:r>
      <w:r>
        <w:rPr>
          <w:rFonts w:hint="eastAsia" w:ascii="微软雅黑" w:hAnsi="微软雅黑" w:eastAsia="微软雅黑" w:cs="微软雅黑"/>
          <w:bCs/>
          <w:color w:val="000000"/>
          <w:kern w:val="2"/>
          <w:sz w:val="21"/>
          <w:szCs w:val="21"/>
          <w:lang w:val="en-US" w:eastAsia="zh-CN"/>
        </w:rPr>
        <w:t>、民生、广发、浙商</w:t>
      </w:r>
      <w:r>
        <w:rPr>
          <w:rFonts w:hint="eastAsia" w:ascii="微软雅黑" w:hAnsi="微软雅黑" w:eastAsia="微软雅黑" w:cs="微软雅黑"/>
          <w:bCs/>
          <w:color w:val="000000"/>
          <w:kern w:val="2"/>
          <w:sz w:val="21"/>
          <w:szCs w:val="21"/>
          <w:lang w:val="en-US" w:eastAsia="zh-CN"/>
        </w:rPr>
        <w:t>）任一银行网点</w:t>
      </w:r>
      <w:r>
        <w:rPr>
          <w:rFonts w:hint="eastAsia" w:ascii="微软雅黑" w:hAnsi="微软雅黑" w:eastAsia="微软雅黑" w:cs="微软雅黑"/>
          <w:bCs/>
          <w:color w:val="000000"/>
          <w:kern w:val="2"/>
          <w:sz w:val="21"/>
          <w:szCs w:val="21"/>
          <w:lang w:val="en-US" w:eastAsia="zh-CN"/>
        </w:rPr>
        <w:t>、</w:t>
      </w:r>
      <w:r>
        <w:rPr>
          <w:rFonts w:hint="eastAsia" w:ascii="微软雅黑" w:hAnsi="微软雅黑" w:eastAsia="微软雅黑" w:cs="微软雅黑"/>
          <w:bCs/>
          <w:color w:val="000000"/>
          <w:kern w:val="2"/>
          <w:sz w:val="21"/>
          <w:szCs w:val="21"/>
          <w:lang w:val="en-US" w:eastAsia="zh-CN"/>
        </w:rPr>
        <w:t>网上银行缴纳罚款。</w:t>
      </w:r>
      <w:r>
        <w:rPr>
          <w:rFonts w:hint="eastAsia" w:ascii="微软雅黑" w:hAnsi="微软雅黑" w:eastAsia="微软雅黑" w:cs="微软雅黑"/>
          <w:bCs/>
          <w:color w:val="000000"/>
          <w:kern w:val="2"/>
          <w:sz w:val="21"/>
          <w:szCs w:val="21"/>
          <w:lang w:eastAsia="zh-CN"/>
        </w:rPr>
        <w:t>缴款码：</w:t>
      </w:r>
      <w:r>
        <w:rPr>
          <w:rFonts w:hint="eastAsia" w:ascii="微软雅黑" w:hAnsi="微软雅黑" w:eastAsia="微软雅黑" w:cs="微软雅黑"/>
          <w:bCs/>
          <w:color w:val="000000"/>
          <w:kern w:val="2"/>
          <w:sz w:val="21"/>
          <w:szCs w:val="21"/>
          <w:lang w:eastAsia="zh-CN"/>
        </w:rPr>
        <w:t>（略）</w:t>
      </w:r>
      <w:r>
        <w:rPr>
          <w:rFonts w:hint="eastAsia" w:ascii="微软雅黑" w:hAnsi="微软雅黑" w:eastAsia="微软雅黑" w:cs="微软雅黑"/>
          <w:bCs/>
          <w:color w:val="000000"/>
          <w:kern w:val="2"/>
          <w:sz w:val="21"/>
          <w:szCs w:val="21"/>
          <w:lang w:val="en-US" w:eastAsia="zh-CN"/>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lang w:eastAsia="zh-CN"/>
        </w:rPr>
        <w:t>当事人</w:t>
      </w:r>
      <w:r>
        <w:rPr>
          <w:rFonts w:hint="eastAsia" w:ascii="微软雅黑" w:hAnsi="微软雅黑" w:eastAsia="微软雅黑" w:cs="微软雅黑"/>
          <w:bCs/>
          <w:color w:val="000000"/>
          <w:kern w:val="2"/>
          <w:sz w:val="21"/>
          <w:szCs w:val="21"/>
          <w:lang w:eastAsia="zh-CN"/>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pStyle w:val="2"/>
        <w:keepNext w:val="0"/>
        <w:keepLines w:val="0"/>
        <w:pageBreakBefore w:val="0"/>
        <w:widowControl w:val="0"/>
        <w:kinsoku/>
        <w:wordWrap/>
        <w:topLinePunct w:val="0"/>
        <w:bidi w:val="0"/>
        <w:spacing w:after="0" w:line="594" w:lineRule="exact"/>
        <w:textAlignment w:val="auto"/>
        <w:rPr>
          <w:rFonts w:hint="eastAsia" w:ascii="微软雅黑" w:hAnsi="微软雅黑" w:eastAsia="微软雅黑" w:cs="微软雅黑"/>
          <w:sz w:val="21"/>
          <w:szCs w:val="21"/>
          <w:lang w:eastAsia="zh-CN"/>
        </w:rPr>
      </w:pPr>
    </w:p>
    <w:p>
      <w:pPr>
        <w:keepNext w:val="0"/>
        <w:keepLines w:val="0"/>
        <w:pageBreakBefore w:val="0"/>
        <w:widowControl w:val="0"/>
        <w:kinsoku/>
        <w:wordWrap/>
        <w:topLinePunct w:val="0"/>
        <w:bidi w:val="0"/>
        <w:snapToGrid w:val="0"/>
        <w:spacing w:line="594" w:lineRule="exact"/>
        <w:ind w:firstLine="3530" w:firstLineChars="173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市场监管总局</w:t>
      </w:r>
    </w:p>
    <w:p>
      <w:pPr>
        <w:keepNext w:val="0"/>
        <w:keepLines w:val="0"/>
        <w:pageBreakBefore w:val="0"/>
        <w:widowControl w:val="0"/>
        <w:kinsoku/>
        <w:wordWrap/>
        <w:topLinePunct w:val="0"/>
        <w:bidi w:val="0"/>
        <w:snapToGrid w:val="0"/>
        <w:spacing w:line="594" w:lineRule="exact"/>
        <w:ind w:firstLine="3395" w:firstLineChars="1664"/>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202</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年</w:t>
      </w:r>
      <w:r>
        <w:rPr>
          <w:rFonts w:hint="eastAsia" w:ascii="微软雅黑" w:hAnsi="微软雅黑" w:eastAsia="微软雅黑" w:cs="微软雅黑"/>
          <w:kern w:val="2"/>
          <w:sz w:val="21"/>
          <w:szCs w:val="21"/>
          <w:lang w:val="en-US" w:eastAsia="zh-CN"/>
        </w:rPr>
        <w:t>11</w:t>
      </w:r>
      <w:r>
        <w:rPr>
          <w:rFonts w:hint="eastAsia" w:ascii="微软雅黑" w:hAnsi="微软雅黑" w:eastAsia="微软雅黑" w:cs="微软雅黑"/>
          <w:kern w:val="2"/>
          <w:sz w:val="21"/>
          <w:szCs w:val="21"/>
        </w:rPr>
        <w:t>月</w:t>
      </w:r>
      <w:r>
        <w:rPr>
          <w:rFonts w:hint="eastAsia" w:ascii="微软雅黑" w:hAnsi="微软雅黑" w:eastAsia="微软雅黑" w:cs="微软雅黑"/>
          <w:kern w:val="2"/>
          <w:sz w:val="21"/>
          <w:szCs w:val="21"/>
          <w:lang w:val="en-US" w:eastAsia="zh-CN"/>
        </w:rPr>
        <w:t>15</w:t>
      </w:r>
      <w:r>
        <w:rPr>
          <w:rFonts w:hint="eastAsia" w:ascii="微软雅黑" w:hAnsi="微软雅黑" w:eastAsia="微软雅黑" w:cs="微软雅黑"/>
          <w:kern w:val="2"/>
          <w:sz w:val="21"/>
          <w:szCs w:val="21"/>
        </w:rPr>
        <w:t>日</w:t>
      </w:r>
    </w:p>
    <w:p>
      <w:pPr>
        <w:keepNext w:val="0"/>
        <w:keepLines w:val="0"/>
        <w:pageBreakBefore w:val="0"/>
        <w:widowControl w:val="0"/>
        <w:kinsoku/>
        <w:wordWrap/>
        <w:topLinePunct w:val="0"/>
        <w:bidi w:val="0"/>
        <w:spacing w:line="594" w:lineRule="exact"/>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kern w:val="2"/>
          <w:sz w:val="21"/>
          <w:szCs w:val="21"/>
        </w:rPr>
        <w:t>（此件公开发布）</w:t>
      </w:r>
    </w:p>
    <w:bookmarkEnd w:id="11"/>
    <w:sectPr>
      <w:footerReference r:id="rId3" w:type="default"/>
      <w:footerReference r:id="rId4" w:type="even"/>
      <w:pgSz w:w="11906" w:h="16838"/>
      <w:pgMar w:top="1440" w:right="1803" w:bottom="1440" w:left="1803"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8"/>
        <w:rFonts w:hint="eastAsia"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570B1"/>
    <w:rsid w:val="0153063F"/>
    <w:rsid w:val="01A839B5"/>
    <w:rsid w:val="01E27CAC"/>
    <w:rsid w:val="02686764"/>
    <w:rsid w:val="030E3C1A"/>
    <w:rsid w:val="03235387"/>
    <w:rsid w:val="03FB4AEB"/>
    <w:rsid w:val="0449129C"/>
    <w:rsid w:val="075F674C"/>
    <w:rsid w:val="083430C7"/>
    <w:rsid w:val="09AC08F5"/>
    <w:rsid w:val="0D2865CE"/>
    <w:rsid w:val="0D4F123B"/>
    <w:rsid w:val="0F1D24C6"/>
    <w:rsid w:val="0F384CAE"/>
    <w:rsid w:val="0FA70C29"/>
    <w:rsid w:val="124546B4"/>
    <w:rsid w:val="12D617D9"/>
    <w:rsid w:val="131E7A78"/>
    <w:rsid w:val="14E769C2"/>
    <w:rsid w:val="16657401"/>
    <w:rsid w:val="16A406A2"/>
    <w:rsid w:val="16DE70D7"/>
    <w:rsid w:val="17EF4193"/>
    <w:rsid w:val="18DB1E51"/>
    <w:rsid w:val="192053EE"/>
    <w:rsid w:val="19FF5BD3"/>
    <w:rsid w:val="1A156921"/>
    <w:rsid w:val="1ADB3431"/>
    <w:rsid w:val="1B0337EA"/>
    <w:rsid w:val="1B095395"/>
    <w:rsid w:val="1B223165"/>
    <w:rsid w:val="1C2A697C"/>
    <w:rsid w:val="1C3B30D9"/>
    <w:rsid w:val="1D3570B1"/>
    <w:rsid w:val="1F573D93"/>
    <w:rsid w:val="1F6059B7"/>
    <w:rsid w:val="1FE9471A"/>
    <w:rsid w:val="213B5A0D"/>
    <w:rsid w:val="2608726A"/>
    <w:rsid w:val="261F51BF"/>
    <w:rsid w:val="264C3D8F"/>
    <w:rsid w:val="265326DA"/>
    <w:rsid w:val="26D23DFE"/>
    <w:rsid w:val="28C8606C"/>
    <w:rsid w:val="29171A1E"/>
    <w:rsid w:val="29F70A22"/>
    <w:rsid w:val="2CBC70C7"/>
    <w:rsid w:val="2F5A18F5"/>
    <w:rsid w:val="2FD53C7F"/>
    <w:rsid w:val="300B75DD"/>
    <w:rsid w:val="3069119D"/>
    <w:rsid w:val="308D1FE3"/>
    <w:rsid w:val="31611C2C"/>
    <w:rsid w:val="31E778A8"/>
    <w:rsid w:val="33B94AAA"/>
    <w:rsid w:val="34714342"/>
    <w:rsid w:val="35B03B5A"/>
    <w:rsid w:val="38043EF0"/>
    <w:rsid w:val="386A294D"/>
    <w:rsid w:val="3B5D2A4F"/>
    <w:rsid w:val="3DF91567"/>
    <w:rsid w:val="3EF9C0DD"/>
    <w:rsid w:val="3F1B7491"/>
    <w:rsid w:val="3F3B6D32"/>
    <w:rsid w:val="3F9631F0"/>
    <w:rsid w:val="45F50A3C"/>
    <w:rsid w:val="46E42D2C"/>
    <w:rsid w:val="471E5D70"/>
    <w:rsid w:val="48B07C4C"/>
    <w:rsid w:val="48CE0ADD"/>
    <w:rsid w:val="49513DE5"/>
    <w:rsid w:val="49F75885"/>
    <w:rsid w:val="4ABC40B8"/>
    <w:rsid w:val="4BE41131"/>
    <w:rsid w:val="4EF957B9"/>
    <w:rsid w:val="4EFD73AF"/>
    <w:rsid w:val="4FBB0857"/>
    <w:rsid w:val="4FDB2438"/>
    <w:rsid w:val="50983997"/>
    <w:rsid w:val="509E06F1"/>
    <w:rsid w:val="51075873"/>
    <w:rsid w:val="541C0068"/>
    <w:rsid w:val="58F35A97"/>
    <w:rsid w:val="5A3F823B"/>
    <w:rsid w:val="5A8C3C9C"/>
    <w:rsid w:val="5B8B0DC5"/>
    <w:rsid w:val="5BDD2331"/>
    <w:rsid w:val="5D4E6DD5"/>
    <w:rsid w:val="5EBC3ACE"/>
    <w:rsid w:val="5EFA53DB"/>
    <w:rsid w:val="5F391542"/>
    <w:rsid w:val="602F6571"/>
    <w:rsid w:val="62E72A13"/>
    <w:rsid w:val="631604C1"/>
    <w:rsid w:val="662A0EB3"/>
    <w:rsid w:val="6947638C"/>
    <w:rsid w:val="6A3F091C"/>
    <w:rsid w:val="6C8D52AD"/>
    <w:rsid w:val="6E7DB835"/>
    <w:rsid w:val="6F712D0C"/>
    <w:rsid w:val="6FBD938D"/>
    <w:rsid w:val="6FFB64A7"/>
    <w:rsid w:val="71205B4B"/>
    <w:rsid w:val="7A782B89"/>
    <w:rsid w:val="7D641176"/>
    <w:rsid w:val="7DBB68AB"/>
    <w:rsid w:val="7EBD440C"/>
    <w:rsid w:val="7F77FF92"/>
    <w:rsid w:val="7FF67FC8"/>
    <w:rsid w:val="967DC146"/>
    <w:rsid w:val="B54FE11D"/>
    <w:rsid w:val="BDFA70CD"/>
    <w:rsid w:val="E2FFCB02"/>
    <w:rsid w:val="EB7EE641"/>
    <w:rsid w:val="EBBF82C7"/>
    <w:rsid w:val="EE67A5F4"/>
    <w:rsid w:val="FAB0B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eastAsia="宋体" w:cs="Times New Roman"/>
      <w:szCs w:val="22"/>
    </w:rPr>
  </w:style>
  <w:style w:type="paragraph" w:styleId="3">
    <w:name w:val="Normal Indent"/>
    <w:basedOn w:val="1"/>
    <w:qFormat/>
    <w:uiPriority w:val="0"/>
    <w:pPr>
      <w:spacing w:line="360" w:lineRule="exact"/>
      <w:ind w:firstLine="420" w:firstLineChars="200"/>
    </w:pPr>
    <w:rPr>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paragraph" w:customStyle="1" w:styleId="9">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2020-12-14T10:26:00Z</dcterms:created>
  <dc:creator>徐霄飞</dc:creator>
  <cp:lastModifiedBy>陈永仁</cp:lastModifiedBy>
  <cp:lastPrinted>2021-11-13T23:55:00Z</cp:lastPrinted>
  <dcterms:modified xsi:type="dcterms:W3CDTF">2021-11-21T15:09:56Z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F960C7B479A44CE897FBE7064F959457</vt:lpwstr>
  </property>
</Properties>
</file>