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202"/>
          <w:kern w:val="0"/>
          <w:sz w:val="21"/>
          <w:szCs w:val="21"/>
          <w:fitText w:val="5742" w:id="1470010642"/>
        </w:rPr>
        <w:t>国家市场监督管理总</w:t>
      </w:r>
      <w:r>
        <w:rPr>
          <w:rFonts w:hint="eastAsia" w:ascii="微软雅黑" w:hAnsi="微软雅黑" w:eastAsia="微软雅黑" w:cs="微软雅黑"/>
          <w:bCs/>
          <w:color w:val="000000"/>
          <w:spacing w:val="3"/>
          <w:kern w:val="0"/>
          <w:sz w:val="21"/>
          <w:szCs w:val="21"/>
          <w:fitText w:val="5742" w:id="1470010642"/>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w:t>
      </w:r>
      <w:r>
        <w:rPr>
          <w:rFonts w:hint="eastAsia" w:ascii="微软雅黑" w:hAnsi="微软雅黑" w:eastAsia="微软雅黑" w:cs="微软雅黑"/>
          <w:kern w:val="2"/>
          <w:sz w:val="21"/>
          <w:szCs w:val="21"/>
          <w:lang w:val="en-US" w:eastAsia="zh-CN"/>
        </w:rPr>
        <w:t>罚</w:t>
      </w: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93</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pStyle w:val="2"/>
        <w:keepNext w:val="0"/>
        <w:keepLines w:val="0"/>
        <w:pageBreakBefore w:val="0"/>
        <w:widowControl w:val="0"/>
        <w:kinsoku/>
        <w:wordWrap/>
        <w:topLinePunct w:val="0"/>
        <w:bidi w:val="0"/>
        <w:spacing w:after="0" w:line="594" w:lineRule="exact"/>
        <w:ind w:left="0" w:leftChars="0" w:firstLine="402" w:firstLineChars="197"/>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sz w:val="21"/>
          <w:szCs w:val="21"/>
          <w:lang w:eastAsia="zh-CN"/>
        </w:rPr>
        <w:t>腾讯控股</w:t>
      </w:r>
      <w:r>
        <w:rPr>
          <w:rFonts w:hint="eastAsia" w:ascii="微软雅黑" w:hAnsi="微软雅黑" w:eastAsia="微软雅黑" w:cs="微软雅黑"/>
          <w:sz w:val="21"/>
          <w:szCs w:val="21"/>
          <w:lang w:val="en-US" w:eastAsia="zh-CN"/>
        </w:rPr>
        <w:t>有限公司（Tencent Holding Limited）</w:t>
      </w:r>
    </w:p>
    <w:p>
      <w:pPr>
        <w:pStyle w:val="2"/>
        <w:keepNext w:val="0"/>
        <w:keepLines w:val="0"/>
        <w:pageBreakBefore w:val="0"/>
        <w:widowControl w:val="0"/>
        <w:kinsoku/>
        <w:wordWrap/>
        <w:topLinePunct w:val="0"/>
        <w:bidi w:val="0"/>
        <w:spacing w:after="0" w:line="594" w:lineRule="exact"/>
        <w:ind w:left="0" w:leftChars="0" w:firstLine="402" w:firstLineChars="197"/>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住</w:t>
      </w:r>
      <w:r>
        <w:rPr>
          <w:rFonts w:hint="eastAsia" w:ascii="微软雅黑" w:hAnsi="微软雅黑" w:eastAsia="微软雅黑" w:cs="微软雅黑"/>
          <w:kern w:val="2"/>
          <w:sz w:val="21"/>
          <w:szCs w:val="21"/>
          <w:lang w:val="en-US" w:eastAsia="zh-CN"/>
        </w:rPr>
        <w:t xml:space="preserve"> </w:t>
      </w:r>
      <w:r>
        <w:rPr>
          <w:rFonts w:hint="eastAsia" w:ascii="微软雅黑" w:hAnsi="微软雅黑" w:eastAsia="微软雅黑" w:cs="微软雅黑"/>
          <w:kern w:val="2"/>
          <w:sz w:val="21"/>
          <w:szCs w:val="21"/>
        </w:rPr>
        <w:t>所：</w:t>
      </w:r>
      <w:r>
        <w:rPr>
          <w:rFonts w:hint="eastAsia" w:ascii="微软雅黑" w:hAnsi="微软雅黑" w:eastAsia="微软雅黑" w:cs="微软雅黑"/>
          <w:color w:val="auto"/>
          <w:kern w:val="2"/>
          <w:sz w:val="21"/>
          <w:szCs w:val="21"/>
          <w:lang w:val="en-US" w:eastAsia="zh-CN" w:bidi="ar-SA"/>
        </w:rPr>
        <w:t>开曼群岛哈金斯大道克里奇广场2681邮箱（</w:t>
      </w:r>
      <w:r>
        <w:rPr>
          <w:rFonts w:hint="eastAsia" w:ascii="微软雅黑" w:hAnsi="微软雅黑" w:eastAsia="微软雅黑" w:cs="微软雅黑"/>
          <w:sz w:val="21"/>
          <w:szCs w:val="21"/>
          <w:lang w:val="en-US" w:eastAsia="zh-CN"/>
        </w:rPr>
        <w:t xml:space="preserve">Cricket Square Hutchins Drive P.O.Box 2681 Grand Cayman KYI-1111 Cayman Islands </w:t>
      </w:r>
      <w:r>
        <w:rPr>
          <w:rFonts w:hint="eastAsia" w:ascii="微软雅黑" w:hAnsi="微软雅黑" w:eastAsia="微软雅黑" w:cs="微软雅黑"/>
          <w:color w:val="auto"/>
          <w:kern w:val="2"/>
          <w:sz w:val="21"/>
          <w:szCs w:val="21"/>
          <w:lang w:val="en-US" w:eastAsia="zh-CN" w:bidi="ar-SA"/>
        </w:rPr>
        <w:t>）</w:t>
      </w:r>
      <w:r>
        <w:rPr>
          <w:rFonts w:hint="eastAsia" w:ascii="微软雅黑" w:hAnsi="微软雅黑" w:eastAsia="微软雅黑" w:cs="微软雅黑"/>
          <w:sz w:val="21"/>
          <w:szCs w:val="21"/>
          <w:lang w:val="en-US" w:eastAsia="zh-CN"/>
        </w:rPr>
        <w:t xml:space="preserve">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sz w:val="21"/>
          <w:szCs w:val="21"/>
          <w:lang w:eastAsia="zh-CN"/>
        </w:rPr>
        <w:t>根据《中华人民共和国反垄断法》（以下简称《反垄断法》）《经营者集中审查暂行规定》，本机关于</w:t>
      </w:r>
      <w:r>
        <w:rPr>
          <w:rFonts w:hint="eastAsia" w:ascii="微软雅黑" w:hAnsi="微软雅黑" w:eastAsia="微软雅黑" w:cs="微软雅黑"/>
          <w:sz w:val="21"/>
          <w:szCs w:val="21"/>
          <w:lang w:val="en-US" w:eastAsia="zh-CN"/>
        </w:rPr>
        <w:t>2021年</w:t>
      </w:r>
      <w:r>
        <w:rPr>
          <w:rFonts w:hint="eastAsia" w:ascii="微软雅黑" w:hAnsi="微软雅黑" w:eastAsia="微软雅黑" w:cs="微软雅黑"/>
          <w:color w:val="auto"/>
          <w:sz w:val="21"/>
          <w:szCs w:val="21"/>
          <w:lang w:val="en-US" w:eastAsia="zh-CN"/>
        </w:rPr>
        <w:t>8月12日</w:t>
      </w:r>
      <w:r>
        <w:rPr>
          <w:rFonts w:hint="eastAsia" w:ascii="微软雅黑" w:hAnsi="微软雅黑" w:eastAsia="微软雅黑" w:cs="微软雅黑"/>
          <w:sz w:val="21"/>
          <w:szCs w:val="21"/>
          <w:lang w:eastAsia="zh-CN"/>
        </w:rPr>
        <w:t>对</w:t>
      </w:r>
      <w:r>
        <w:rPr>
          <w:rFonts w:hint="eastAsia" w:ascii="微软雅黑" w:hAnsi="微软雅黑" w:eastAsia="微软雅黑" w:cs="微软雅黑"/>
          <w:sz w:val="21"/>
          <w:szCs w:val="21"/>
          <w:lang w:eastAsia="zh-CN"/>
        </w:rPr>
        <w:t>腾讯控股</w:t>
      </w:r>
      <w:r>
        <w:rPr>
          <w:rFonts w:hint="eastAsia" w:ascii="微软雅黑" w:hAnsi="微软雅黑" w:eastAsia="微软雅黑" w:cs="微软雅黑"/>
          <w:sz w:val="21"/>
          <w:szCs w:val="21"/>
          <w:lang w:val="en-US" w:eastAsia="zh-CN"/>
        </w:rPr>
        <w:t>有限公司（以下简称腾讯）收购</w:t>
      </w:r>
      <w:r>
        <w:rPr>
          <w:rFonts w:hint="eastAsia" w:ascii="微软雅黑" w:hAnsi="微软雅黑" w:eastAsia="微软雅黑" w:cs="微软雅黑"/>
          <w:sz w:val="21"/>
          <w:szCs w:val="21"/>
          <w:lang w:eastAsia="zh-CN"/>
        </w:rPr>
        <w:t>成都超有</w:t>
      </w:r>
      <w:r>
        <w:rPr>
          <w:rFonts w:hint="eastAsia" w:ascii="微软雅黑" w:hAnsi="微软雅黑" w:eastAsia="微软雅黑" w:cs="微软雅黑"/>
          <w:sz w:val="21"/>
          <w:szCs w:val="21"/>
          <w:lang w:eastAsia="zh-CN"/>
        </w:rPr>
        <w:t>爱</w:t>
      </w:r>
      <w:r>
        <w:rPr>
          <w:rFonts w:hint="eastAsia" w:ascii="微软雅黑" w:hAnsi="微软雅黑" w:eastAsia="微软雅黑" w:cs="微软雅黑"/>
          <w:sz w:val="21"/>
          <w:szCs w:val="21"/>
          <w:lang w:eastAsia="zh-CN"/>
        </w:rPr>
        <w:t>科技</w:t>
      </w:r>
      <w:r>
        <w:rPr>
          <w:rFonts w:hint="eastAsia" w:ascii="微软雅黑" w:hAnsi="微软雅黑" w:eastAsia="微软雅黑" w:cs="微软雅黑"/>
          <w:sz w:val="21"/>
          <w:szCs w:val="21"/>
        </w:rPr>
        <w:t>有限公司（以下简称</w:t>
      </w:r>
      <w:r>
        <w:rPr>
          <w:rFonts w:hint="eastAsia" w:ascii="微软雅黑" w:hAnsi="微软雅黑" w:eastAsia="微软雅黑" w:cs="微软雅黑"/>
          <w:sz w:val="21"/>
          <w:szCs w:val="21"/>
          <w:lang w:eastAsia="zh-CN"/>
        </w:rPr>
        <w:t>百词斩</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股权</w:t>
      </w:r>
      <w:r>
        <w:rPr>
          <w:rFonts w:hint="eastAsia" w:ascii="微软雅黑" w:hAnsi="微软雅黑" w:eastAsia="微软雅黑" w:cs="微软雅黑"/>
          <w:sz w:val="21"/>
          <w:szCs w:val="21"/>
        </w:rPr>
        <w:t>涉嫌</w:t>
      </w:r>
      <w:r>
        <w:rPr>
          <w:rFonts w:hint="eastAsia" w:ascii="微软雅黑" w:hAnsi="微软雅黑" w:eastAsia="微软雅黑" w:cs="微软雅黑"/>
          <w:color w:val="auto"/>
          <w:sz w:val="21"/>
          <w:szCs w:val="21"/>
          <w:lang w:val="en-US" w:eastAsia="zh-CN"/>
        </w:rPr>
        <w:t>未依法申报</w:t>
      </w:r>
      <w:r>
        <w:rPr>
          <w:rFonts w:hint="eastAsia" w:ascii="微软雅黑" w:hAnsi="微软雅黑" w:eastAsia="微软雅黑" w:cs="微软雅黑"/>
          <w:color w:val="auto"/>
          <w:sz w:val="21"/>
          <w:szCs w:val="21"/>
          <w:lang w:val="en-US" w:eastAsia="zh-CN"/>
        </w:rPr>
        <w:t>违法实施经营者集中案</w:t>
      </w:r>
      <w:r>
        <w:rPr>
          <w:rFonts w:hint="eastAsia" w:ascii="微软雅黑" w:hAnsi="微软雅黑" w:eastAsia="微软雅黑" w:cs="微软雅黑"/>
          <w:color w:val="auto"/>
          <w:kern w:val="2"/>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color w:val="auto"/>
          <w:kern w:val="2"/>
          <w:sz w:val="21"/>
          <w:szCs w:val="21"/>
        </w:rPr>
        <w:t>经查，该案构成</w:t>
      </w:r>
      <w:r>
        <w:rPr>
          <w:rFonts w:hint="eastAsia" w:ascii="微软雅黑" w:hAnsi="微软雅黑" w:eastAsia="微软雅黑" w:cs="微软雅黑"/>
          <w:color w:val="auto"/>
          <w:kern w:val="2"/>
          <w:sz w:val="21"/>
          <w:szCs w:val="21"/>
          <w:lang w:eastAsia="zh-CN"/>
        </w:rPr>
        <w:t>未依法申报</w:t>
      </w:r>
      <w:r>
        <w:rPr>
          <w:rFonts w:hint="eastAsia" w:ascii="微软雅黑" w:hAnsi="微软雅黑" w:eastAsia="微软雅黑" w:cs="微软雅黑"/>
          <w:color w:val="auto"/>
          <w:kern w:val="2"/>
          <w:sz w:val="21"/>
          <w:szCs w:val="21"/>
        </w:rPr>
        <w:t>违法实施经营者集中，但不具有排除、限制竞争的效果。本机关按照《</w:t>
      </w:r>
      <w:r>
        <w:rPr>
          <w:rFonts w:hint="eastAsia" w:ascii="微软雅黑" w:hAnsi="微软雅黑" w:eastAsia="微软雅黑" w:cs="微软雅黑"/>
          <w:color w:val="auto"/>
          <w:kern w:val="2"/>
          <w:sz w:val="21"/>
          <w:szCs w:val="21"/>
          <w:lang w:eastAsia="zh-CN"/>
        </w:rPr>
        <w:t>中华人民共和国</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（以下简称</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kern w:val="2"/>
          <w:sz w:val="21"/>
          <w:szCs w:val="21"/>
        </w:rPr>
        <w:t>的规定，向</w:t>
      </w:r>
      <w:r>
        <w:rPr>
          <w:rFonts w:hint="eastAsia" w:ascii="微软雅黑" w:hAnsi="微软雅黑" w:eastAsia="微软雅黑" w:cs="微软雅黑"/>
          <w:color w:val="auto"/>
          <w:kern w:val="2"/>
          <w:sz w:val="21"/>
          <w:szCs w:val="21"/>
          <w:lang w:val="en-US" w:eastAsia="zh-CN"/>
        </w:rPr>
        <w:t>腾讯</w:t>
      </w:r>
      <w:r>
        <w:rPr>
          <w:rFonts w:hint="eastAsia" w:ascii="微软雅黑" w:hAnsi="微软雅黑" w:eastAsia="微软雅黑" w:cs="微软雅黑"/>
          <w:color w:val="auto"/>
          <w:kern w:val="2"/>
          <w:sz w:val="21"/>
          <w:szCs w:val="21"/>
        </w:rPr>
        <w:t>送达了《行政处罚告知书》，告知</w:t>
      </w: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拟作出</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行政处罚</w:t>
      </w:r>
      <w:r>
        <w:rPr>
          <w:rFonts w:hint="eastAsia" w:ascii="微软雅黑" w:hAnsi="微软雅黑" w:eastAsia="微软雅黑" w:cs="微软雅黑"/>
          <w:color w:val="auto"/>
          <w:kern w:val="2"/>
          <w:sz w:val="21"/>
          <w:szCs w:val="21"/>
          <w:lang w:eastAsia="zh-CN"/>
        </w:rPr>
        <w:t>内容及</w:t>
      </w:r>
      <w:r>
        <w:rPr>
          <w:rFonts w:hint="eastAsia" w:ascii="微软雅黑" w:hAnsi="微软雅黑" w:eastAsia="微软雅黑" w:cs="微软雅黑"/>
          <w:color w:val="auto"/>
          <w:kern w:val="2"/>
          <w:sz w:val="21"/>
          <w:szCs w:val="21"/>
        </w:rPr>
        <w:t>事实、理由、</w:t>
      </w:r>
      <w:r>
        <w:rPr>
          <w:rFonts w:hint="eastAsia" w:ascii="微软雅黑" w:hAnsi="微软雅黑" w:eastAsia="微软雅黑" w:cs="微软雅黑"/>
          <w:color w:val="auto"/>
          <w:kern w:val="2"/>
          <w:sz w:val="21"/>
          <w:szCs w:val="21"/>
          <w:lang w:eastAsia="zh-CN"/>
        </w:rPr>
        <w:t>依据</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eastAsia="zh-CN"/>
        </w:rPr>
        <w:t>并告知当事人</w:t>
      </w:r>
      <w:r>
        <w:rPr>
          <w:rFonts w:hint="eastAsia" w:ascii="微软雅黑" w:hAnsi="微软雅黑" w:eastAsia="微软雅黑" w:cs="微软雅黑"/>
          <w:color w:val="auto"/>
          <w:kern w:val="2"/>
          <w:sz w:val="21"/>
          <w:szCs w:val="21"/>
        </w:rPr>
        <w:t>依法享有的陈述、申辩</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要求听证</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权</w:t>
      </w:r>
      <w:r>
        <w:rPr>
          <w:rFonts w:hint="eastAsia" w:ascii="微软雅黑" w:hAnsi="微软雅黑" w:eastAsia="微软雅黑" w:cs="微软雅黑"/>
          <w:color w:val="auto"/>
          <w:kern w:val="2"/>
          <w:sz w:val="21"/>
          <w:szCs w:val="21"/>
          <w:lang w:eastAsia="zh-CN"/>
        </w:rPr>
        <w:t>利</w:t>
      </w:r>
      <w:r>
        <w:rPr>
          <w:rFonts w:hint="eastAsia" w:ascii="微软雅黑" w:hAnsi="微软雅黑" w:eastAsia="微软雅黑" w:cs="微软雅黑"/>
          <w:kern w:val="2"/>
          <w:sz w:val="21"/>
          <w:szCs w:val="21"/>
        </w:rPr>
        <w:t>。</w:t>
      </w:r>
      <w:r>
        <w:rPr>
          <w:rFonts w:hint="eastAsia" w:ascii="微软雅黑" w:hAnsi="微软雅黑" w:eastAsia="微软雅黑" w:cs="微软雅黑"/>
          <w:sz w:val="21"/>
          <w:szCs w:val="21"/>
          <w:lang w:val="en-US" w:eastAsia="zh-CN"/>
        </w:rPr>
        <w:t>腾讯</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（一）交易方。</w:t>
      </w:r>
    </w:p>
    <w:p>
      <w:pPr>
        <w:pStyle w:val="8"/>
        <w:keepNext w:val="0"/>
        <w:keepLines w:val="0"/>
        <w:pageBreakBefore w:val="0"/>
        <w:widowControl w:val="0"/>
        <w:kinsoku/>
        <w:wordWrap/>
        <w:overflowPunct w:val="0"/>
        <w:topLinePunct w:val="0"/>
        <w:autoSpaceDE w:val="0"/>
        <w:autoSpaceDN w:val="0"/>
        <w:bidi w:val="0"/>
        <w:adjustRightInd w:val="0"/>
        <w:snapToGrid/>
        <w:spacing w:line="594" w:lineRule="exact"/>
        <w:ind w:firstLine="641"/>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b/>
          <w:kern w:val="2"/>
          <w:sz w:val="21"/>
          <w:szCs w:val="21"/>
          <w:lang w:val="en-US" w:eastAsia="zh-CN" w:bidi="ar-SA"/>
        </w:rPr>
        <w:t>收购方：</w:t>
      </w:r>
      <w:r>
        <w:rPr>
          <w:rFonts w:hint="eastAsia" w:ascii="微软雅黑" w:hAnsi="微软雅黑" w:eastAsia="微软雅黑" w:cs="微软雅黑"/>
          <w:b/>
          <w:kern w:val="2"/>
          <w:sz w:val="21"/>
          <w:szCs w:val="21"/>
          <w:lang w:val="en-US" w:eastAsia="zh-CN" w:bidi="ar-SA"/>
        </w:rPr>
        <w:t>腾讯</w:t>
      </w:r>
      <w:r>
        <w:rPr>
          <w:rFonts w:hint="eastAsia" w:ascii="微软雅黑" w:hAnsi="微软雅黑" w:eastAsia="微软雅黑" w:cs="微软雅黑"/>
          <w:b/>
          <w:kern w:val="2"/>
          <w:sz w:val="21"/>
          <w:szCs w:val="21"/>
          <w:lang w:val="en-US" w:eastAsia="zh-CN" w:bidi="ar-SA"/>
        </w:rPr>
        <w:t>。</w:t>
      </w:r>
      <w:r>
        <w:rPr>
          <w:rFonts w:hint="eastAsia" w:ascii="微软雅黑" w:hAnsi="微软雅黑" w:eastAsia="微软雅黑" w:cs="微软雅黑"/>
          <w:sz w:val="21"/>
          <w:szCs w:val="21"/>
          <w:lang w:val="en-US" w:eastAsia="zh-CN"/>
        </w:rPr>
        <w:t>1999</w:t>
      </w:r>
      <w:r>
        <w:rPr>
          <w:rFonts w:hint="eastAsia" w:ascii="微软雅黑" w:hAnsi="微软雅黑" w:eastAsia="微软雅黑" w:cs="微软雅黑"/>
          <w:sz w:val="21"/>
          <w:szCs w:val="21"/>
          <w:lang w:eastAsia="zh-CN"/>
        </w:rPr>
        <w:t>年</w:t>
      </w:r>
      <w:r>
        <w:rPr>
          <w:rFonts w:hint="eastAsia" w:ascii="微软雅黑" w:hAnsi="微软雅黑" w:eastAsia="微软雅黑" w:cs="微软雅黑"/>
          <w:sz w:val="21"/>
          <w:szCs w:val="21"/>
          <w:lang w:val="en-US" w:eastAsia="zh-CN"/>
        </w:rPr>
        <w:t>11月于</w:t>
      </w:r>
      <w:r>
        <w:rPr>
          <w:rFonts w:hint="eastAsia" w:ascii="微软雅黑" w:hAnsi="微软雅黑" w:eastAsia="微软雅黑" w:cs="微软雅黑"/>
          <w:kern w:val="2"/>
          <w:sz w:val="21"/>
          <w:szCs w:val="21"/>
          <w:lang w:val="en-US" w:eastAsia="zh-CN" w:bidi="ar-SA"/>
        </w:rPr>
        <w:t>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年全球</w:t>
      </w:r>
      <w:r>
        <w:rPr>
          <w:rFonts w:hint="eastAsia" w:ascii="微软雅黑" w:hAnsi="微软雅黑" w:eastAsia="微软雅黑" w:cs="微软雅黑"/>
          <w:sz w:val="21"/>
          <w:szCs w:val="21"/>
          <w:lang w:eastAsia="zh-CN"/>
        </w:rPr>
        <w:t>营业</w:t>
      </w:r>
      <w:r>
        <w:rPr>
          <w:rFonts w:hint="eastAsia" w:ascii="微软雅黑" w:hAnsi="微软雅黑" w:eastAsia="微软雅黑" w:cs="微软雅黑"/>
          <w:kern w:val="2"/>
          <w:sz w:val="21"/>
          <w:szCs w:val="21"/>
          <w:lang w:val="en-US" w:eastAsia="zh-CN" w:bidi="ar-SA"/>
        </w:rPr>
        <w:t>额为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sz w:val="21"/>
          <w:szCs w:val="21"/>
        </w:rPr>
        <w:t>人民币（币种下同）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中国境内营业额为</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sz w:val="21"/>
          <w:szCs w:val="21"/>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kern w:val="2"/>
          <w:sz w:val="21"/>
          <w:szCs w:val="21"/>
          <w:lang w:val="en-US" w:eastAsia="zh-CN" w:bidi="ar-SA"/>
        </w:rPr>
        <w:t>被收购方：百词斩</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sz w:val="21"/>
          <w:szCs w:val="21"/>
        </w:rPr>
        <w:t>20</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年于中国</w:t>
      </w:r>
      <w:r>
        <w:rPr>
          <w:rFonts w:hint="eastAsia" w:ascii="微软雅黑" w:hAnsi="微软雅黑" w:eastAsia="微软雅黑" w:cs="微软雅黑"/>
          <w:sz w:val="21"/>
          <w:szCs w:val="21"/>
          <w:lang w:eastAsia="zh-CN"/>
        </w:rPr>
        <w:t>四川省成都市</w:t>
      </w:r>
      <w:r>
        <w:rPr>
          <w:rFonts w:hint="eastAsia" w:ascii="微软雅黑" w:hAnsi="微软雅黑" w:eastAsia="微软雅黑" w:cs="微软雅黑"/>
          <w:sz w:val="21"/>
          <w:szCs w:val="21"/>
        </w:rPr>
        <w:t>注册成立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最终控制人为</w:t>
      </w:r>
      <w:r>
        <w:rPr>
          <w:rFonts w:hint="eastAsia" w:ascii="微软雅黑" w:hAnsi="微软雅黑" w:eastAsia="微软雅黑" w:cs="微软雅黑"/>
          <w:sz w:val="21"/>
          <w:szCs w:val="21"/>
          <w:lang w:eastAsia="zh-CN"/>
        </w:rPr>
        <w:t>自然人欧阳丹</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主要从事线上英语教育业务，</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年全球和中国境内营业额均为</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b w:val="0"/>
          <w:bCs/>
          <w:kern w:val="2"/>
          <w:sz w:val="21"/>
          <w:szCs w:val="21"/>
          <w:lang w:val="en-US" w:eastAsia="zh-CN" w:bidi="ar-SA"/>
        </w:rPr>
        <w:t>。</w:t>
      </w:r>
    </w:p>
    <w:p>
      <w:pPr>
        <w:pStyle w:val="3"/>
        <w:keepNext w:val="0"/>
        <w:keepLines w:val="0"/>
        <w:pageBreakBefore w:val="0"/>
        <w:widowControl w:val="0"/>
        <w:kinsoku/>
        <w:wordWrap/>
        <w:topLinePunct w:val="0"/>
        <w:bidi w:val="0"/>
        <w:spacing w:line="594"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eastAsia="zh-CN"/>
        </w:rPr>
        <w:t>其他参与集中的经营者：北京红杉盛德股权投资中心（有限合伙）（以下简称红杉）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2015年于中国北京市注册成立，最终控制人为自然人周逵，主要从事中国境内的投资业务。2017年全球和中国境内营业额均为</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sz w:val="21"/>
          <w:szCs w:val="21"/>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（二）交易概况。</w:t>
      </w:r>
    </w:p>
    <w:p>
      <w:pPr>
        <w:pStyle w:val="8"/>
        <w:keepNext w:val="0"/>
        <w:keepLines w:val="0"/>
        <w:pageBreakBefore w:val="0"/>
        <w:widowControl w:val="0"/>
        <w:kinsoku/>
        <w:wordWrap/>
        <w:topLinePunct w:val="0"/>
        <w:bidi w:val="0"/>
        <w:spacing w:line="594" w:lineRule="exact"/>
        <w:ind w:firstLine="640"/>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sz w:val="21"/>
          <w:szCs w:val="21"/>
          <w:lang w:eastAsia="zh-CN"/>
        </w:rPr>
        <w:t>该</w:t>
      </w:r>
      <w:r>
        <w:rPr>
          <w:rFonts w:hint="eastAsia" w:ascii="微软雅黑" w:hAnsi="微软雅黑" w:eastAsia="微软雅黑" w:cs="微软雅黑"/>
          <w:sz w:val="21"/>
          <w:szCs w:val="21"/>
          <w:lang w:eastAsia="zh-CN"/>
        </w:rPr>
        <w:t>交易系股权收购</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16</w:t>
      </w:r>
      <w:r>
        <w:rPr>
          <w:rFonts w:hint="eastAsia" w:ascii="微软雅黑" w:hAnsi="微软雅黑" w:eastAsia="微软雅黑" w:cs="微软雅黑"/>
          <w:sz w:val="21"/>
          <w:szCs w:val="21"/>
        </w:rPr>
        <w:t>日，腾讯</w:t>
      </w:r>
      <w:r>
        <w:rPr>
          <w:rFonts w:hint="eastAsia" w:ascii="微软雅黑" w:hAnsi="微软雅黑" w:eastAsia="微软雅黑" w:cs="微软雅黑"/>
          <w:sz w:val="21"/>
          <w:szCs w:val="21"/>
          <w:lang w:eastAsia="zh-CN"/>
        </w:rPr>
        <w:t>通过林芝腾讯科技有限公司与中国文化产业投资基金（有限合伙）签订</w:t>
      </w:r>
      <w:r>
        <w:rPr>
          <w:rFonts w:hint="eastAsia" w:ascii="微软雅黑" w:hAnsi="微软雅黑" w:eastAsia="微软雅黑" w:cs="微软雅黑"/>
          <w:sz w:val="21"/>
          <w:szCs w:val="21"/>
        </w:rPr>
        <w:t>签署《</w:t>
      </w:r>
      <w:r>
        <w:rPr>
          <w:rFonts w:hint="eastAsia" w:ascii="微软雅黑" w:hAnsi="微软雅黑" w:eastAsia="微软雅黑" w:cs="微软雅黑"/>
          <w:sz w:val="21"/>
          <w:szCs w:val="21"/>
          <w:lang w:eastAsia="zh-CN"/>
        </w:rPr>
        <w:t>产权交易合同</w:t>
      </w:r>
      <w:r>
        <w:rPr>
          <w:rFonts w:hint="eastAsia" w:ascii="微软雅黑" w:hAnsi="微软雅黑" w:eastAsia="微软雅黑" w:cs="微软雅黑"/>
          <w:sz w:val="21"/>
          <w:szCs w:val="21"/>
        </w:rPr>
        <w:t>》，收购</w:t>
      </w:r>
      <w:r>
        <w:rPr>
          <w:rFonts w:hint="eastAsia" w:ascii="微软雅黑" w:hAnsi="微软雅黑" w:eastAsia="微软雅黑" w:cs="微软雅黑"/>
          <w:sz w:val="21"/>
          <w:szCs w:val="21"/>
          <w:lang w:eastAsia="zh-CN"/>
        </w:rPr>
        <w:t>百词斩</w:t>
      </w:r>
      <w:r>
        <w:rPr>
          <w:rFonts w:hint="eastAsia" w:ascii="微软雅黑" w:hAnsi="微软雅黑" w:eastAsia="微软雅黑" w:cs="微软雅黑"/>
          <w:sz w:val="21"/>
          <w:szCs w:val="21"/>
          <w:lang w:val="en-US" w:eastAsia="zh-CN"/>
        </w:rPr>
        <w:t>11.5752</w:t>
      </w:r>
      <w:r>
        <w:rPr>
          <w:rFonts w:hint="eastAsia" w:ascii="微软雅黑" w:hAnsi="微软雅黑" w:eastAsia="微软雅黑" w:cs="微软雅黑"/>
          <w:sz w:val="21"/>
          <w:szCs w:val="21"/>
        </w:rPr>
        <w:t>%的股权，并取得控制权。201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27</w:t>
      </w:r>
      <w:r>
        <w:rPr>
          <w:rFonts w:hint="eastAsia" w:ascii="微软雅黑" w:hAnsi="微软雅黑" w:eastAsia="微软雅黑" w:cs="微软雅黑"/>
          <w:sz w:val="21"/>
          <w:szCs w:val="21"/>
        </w:rPr>
        <w:t>日，本次交易完成股权变更登记</w:t>
      </w:r>
      <w:r>
        <w:rPr>
          <w:rFonts w:hint="eastAsia" w:ascii="微软雅黑" w:hAnsi="微软雅黑" w:eastAsia="微软雅黑" w:cs="微软雅黑"/>
          <w:b w:val="0"/>
          <w:bCs w:val="0"/>
          <w:kern w:val="2"/>
          <w:sz w:val="21"/>
          <w:szCs w:val="21"/>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（一）本案构成未依法申报违法实施的经营者集中。</w:t>
      </w:r>
    </w:p>
    <w:p>
      <w:pPr>
        <w:keepNext w:val="0"/>
        <w:keepLines w:val="0"/>
        <w:pageBreakBefore w:val="0"/>
        <w:widowControl w:val="0"/>
        <w:kinsoku/>
        <w:wordWrap/>
        <w:topLinePunct w:val="0"/>
        <w:bidi w:val="0"/>
        <w:spacing w:line="594" w:lineRule="exact"/>
        <w:ind w:firstLine="408" w:firstLineChars="200"/>
        <w:jc w:val="both"/>
        <w:textAlignment w:val="auto"/>
        <w:rPr>
          <w:rFonts w:hint="eastAsia" w:ascii="微软雅黑" w:hAnsi="微软雅黑" w:eastAsia="微软雅黑" w:cs="微软雅黑"/>
          <w:bCs/>
          <w:sz w:val="21"/>
          <w:szCs w:val="21"/>
          <w:lang w:eastAsia="zh-CN"/>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b w:val="0"/>
          <w:bCs w:val="0"/>
          <w:kern w:val="2"/>
          <w:sz w:val="21"/>
          <w:szCs w:val="21"/>
          <w:lang w:val="en-US" w:eastAsia="zh-CN" w:bidi="ar-SA"/>
        </w:rPr>
        <w:t>腾讯收购百词斩11.5752%股权，</w:t>
      </w:r>
      <w:r>
        <w:rPr>
          <w:rFonts w:hint="eastAsia" w:ascii="微软雅黑" w:hAnsi="微软雅黑" w:eastAsia="微软雅黑" w:cs="微软雅黑"/>
          <w:bCs/>
          <w:kern w:val="2"/>
          <w:sz w:val="21"/>
          <w:szCs w:val="21"/>
          <w:lang w:val="en-US" w:eastAsia="zh-CN" w:bidi="ar-SA"/>
        </w:rPr>
        <w:t>取得共同控制权，</w:t>
      </w:r>
      <w:r>
        <w:rPr>
          <w:rFonts w:hint="eastAsia" w:ascii="微软雅黑" w:hAnsi="微软雅黑" w:eastAsia="微软雅黑" w:cs="微软雅黑"/>
          <w:bCs/>
          <w:sz w:val="21"/>
          <w:szCs w:val="21"/>
          <w:lang w:eastAsia="zh-CN"/>
        </w:rPr>
        <w:t>属于《反垄断法》第二十条规定的经营者集中。</w:t>
      </w:r>
    </w:p>
    <w:p>
      <w:pPr>
        <w:pStyle w:val="8"/>
        <w:keepNext w:val="0"/>
        <w:keepLines w:val="0"/>
        <w:pageBreakBefore w:val="0"/>
        <w:widowControl w:val="0"/>
        <w:kinsoku/>
        <w:wordWrap/>
        <w:topLinePunct w:val="0"/>
        <w:bidi w:val="0"/>
        <w:spacing w:line="594" w:lineRule="exact"/>
        <w:ind w:firstLine="64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7年度</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腾讯</w:t>
      </w:r>
      <w:r>
        <w:rPr>
          <w:rFonts w:hint="eastAsia" w:ascii="微软雅黑" w:hAnsi="微软雅黑" w:eastAsia="微软雅黑" w:cs="微软雅黑"/>
          <w:sz w:val="21"/>
          <w:szCs w:val="21"/>
        </w:rPr>
        <w:t>全球</w:t>
      </w:r>
      <w:r>
        <w:rPr>
          <w:rFonts w:hint="eastAsia" w:ascii="微软雅黑" w:hAnsi="微软雅黑" w:eastAsia="微软雅黑" w:cs="微软雅黑"/>
          <w:sz w:val="21"/>
          <w:szCs w:val="21"/>
          <w:lang w:eastAsia="zh-CN"/>
        </w:rPr>
        <w:t>营业额为</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中国境内营业额为</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红杉</w:t>
      </w:r>
      <w:r>
        <w:rPr>
          <w:rFonts w:hint="eastAsia" w:ascii="微软雅黑" w:hAnsi="微软雅黑" w:eastAsia="微软雅黑" w:cs="微软雅黑"/>
          <w:sz w:val="21"/>
          <w:szCs w:val="21"/>
          <w:lang w:val="en-US" w:eastAsia="zh-CN"/>
        </w:rPr>
        <w:t>全球和中国境内营业额均为</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kern w:val="2"/>
          <w:sz w:val="21"/>
          <w:szCs w:val="21"/>
          <w:lang w:val="en-US" w:eastAsia="zh-CN" w:bidi="ar-SA"/>
        </w:rPr>
        <w:t>略</w:t>
      </w:r>
      <w:r>
        <w:rPr>
          <w:rFonts w:hint="eastAsia" w:ascii="微软雅黑" w:hAnsi="微软雅黑" w:eastAsia="微软雅黑" w:cs="微软雅黑"/>
          <w:kern w:val="2"/>
          <w:sz w:val="21"/>
          <w:szCs w:val="21"/>
          <w:lang w:val="en-US" w:eastAsia="zh-CN" w:bidi="ar-SA"/>
        </w:rPr>
        <w:t>）</w:t>
      </w:r>
      <w:r>
        <w:rPr>
          <w:rFonts w:hint="eastAsia" w:ascii="微软雅黑" w:hAnsi="微软雅黑" w:eastAsia="微软雅黑" w:cs="微软雅黑"/>
          <w:b w:val="0"/>
          <w:bCs/>
          <w:kern w:val="2"/>
          <w:sz w:val="21"/>
          <w:szCs w:val="21"/>
          <w:lang w:val="en-US" w:eastAsia="zh-CN" w:bidi="ar-SA"/>
        </w:rPr>
        <w:t>，</w:t>
      </w:r>
      <w:r>
        <w:rPr>
          <w:rFonts w:hint="eastAsia" w:ascii="微软雅黑" w:hAnsi="微软雅黑" w:eastAsia="微软雅黑" w:cs="微软雅黑"/>
          <w:sz w:val="21"/>
          <w:szCs w:val="21"/>
        </w:rPr>
        <w:t>达到《国务院关于经营者集中申报标准的规定》第</w:t>
      </w:r>
      <w:r>
        <w:rPr>
          <w:rFonts w:hint="eastAsia" w:ascii="微软雅黑" w:hAnsi="微软雅黑" w:eastAsia="微软雅黑" w:cs="微软雅黑"/>
          <w:sz w:val="21"/>
          <w:szCs w:val="21"/>
          <w:lang w:eastAsia="zh-CN"/>
        </w:rPr>
        <w:t>三</w:t>
      </w:r>
      <w:r>
        <w:rPr>
          <w:rFonts w:hint="eastAsia" w:ascii="微软雅黑" w:hAnsi="微软雅黑" w:eastAsia="微软雅黑" w:cs="微软雅黑"/>
          <w:sz w:val="21"/>
          <w:szCs w:val="21"/>
        </w:rPr>
        <w:t>条规定的申报标准，属于应当申报的情形。</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27</w:t>
      </w:r>
      <w:r>
        <w:rPr>
          <w:rFonts w:hint="eastAsia" w:ascii="微软雅黑" w:hAnsi="微软雅黑" w:eastAsia="微软雅黑" w:cs="微软雅黑"/>
          <w:sz w:val="21"/>
          <w:szCs w:val="21"/>
        </w:rPr>
        <w:t>日</w:t>
      </w:r>
      <w:r>
        <w:rPr>
          <w:rFonts w:hint="eastAsia" w:ascii="微软雅黑" w:hAnsi="微软雅黑" w:eastAsia="微软雅黑" w:cs="微软雅黑"/>
          <w:b w:val="0"/>
          <w:bCs w:val="0"/>
          <w:kern w:val="2"/>
          <w:sz w:val="21"/>
          <w:szCs w:val="21"/>
          <w:lang w:val="en-US" w:eastAsia="zh-CN" w:bidi="ar-SA"/>
        </w:rPr>
        <w:t>，百词斩完成股权变更登记</w:t>
      </w:r>
      <w:r>
        <w:rPr>
          <w:rFonts w:hint="eastAsia" w:ascii="微软雅黑" w:hAnsi="微软雅黑" w:eastAsia="微软雅黑" w:cs="微软雅黑"/>
          <w:bCs/>
          <w:kern w:val="2"/>
          <w:sz w:val="21"/>
          <w:szCs w:val="21"/>
          <w:lang w:val="en-US" w:eastAsia="zh-CN" w:bidi="ar-SA"/>
        </w:rPr>
        <w:t>，</w:t>
      </w:r>
      <w:r>
        <w:rPr>
          <w:rFonts w:hint="eastAsia" w:ascii="微软雅黑" w:hAnsi="微软雅黑" w:eastAsia="微软雅黑" w:cs="微软雅黑"/>
          <w:bCs/>
          <w:kern w:val="2"/>
          <w:sz w:val="21"/>
          <w:szCs w:val="21"/>
          <w:lang w:val="en-US" w:eastAsia="zh-CN" w:bidi="ar-SA"/>
        </w:rPr>
        <w:t>在此之前未依法申报，</w:t>
      </w:r>
      <w:r>
        <w:rPr>
          <w:rFonts w:hint="eastAsia" w:ascii="微软雅黑" w:hAnsi="微软雅黑" w:eastAsia="微软雅黑" w:cs="微软雅黑"/>
          <w:sz w:val="21"/>
          <w:szCs w:val="21"/>
          <w:lang w:val="en-US" w:eastAsia="zh-CN"/>
        </w:rPr>
        <w:t>违反《反垄断法》第二十一条，构成未依法申报违法实施的经营者集中。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（二）本案不具有排除、限制竞争的效果。</w:t>
      </w:r>
    </w:p>
    <w:p>
      <w:pPr>
        <w:keepNext w:val="0"/>
        <w:keepLines w:val="0"/>
        <w:pageBreakBefore w:val="0"/>
        <w:widowControl w:val="0"/>
        <w:kinsoku/>
        <w:wordWrap/>
        <w:topLinePunct w:val="0"/>
        <w:bidi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b w:val="0"/>
          <w:bCs w:val="0"/>
          <w:kern w:val="2"/>
          <w:sz w:val="21"/>
          <w:szCs w:val="21"/>
          <w:lang w:val="en-US" w:eastAsia="zh-CN" w:bidi="ar-SA"/>
        </w:rPr>
        <w:t>腾讯收购百词斩</w:t>
      </w:r>
      <w:r>
        <w:rPr>
          <w:rFonts w:hint="eastAsia" w:ascii="微软雅黑" w:hAnsi="微软雅黑" w:eastAsia="微软雅黑" w:cs="微软雅黑"/>
          <w:kern w:val="2"/>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基于调查</w:t>
      </w:r>
      <w:r>
        <w:rPr>
          <w:rFonts w:hint="eastAsia" w:ascii="微软雅黑" w:hAnsi="微软雅黑" w:eastAsia="微软雅黑" w:cs="微软雅黑"/>
          <w:bCs/>
          <w:color w:val="000000"/>
          <w:kern w:val="2"/>
          <w:sz w:val="21"/>
          <w:szCs w:val="21"/>
          <w:lang w:eastAsia="zh-CN"/>
        </w:rPr>
        <w:t>情况和评估结论，本机关</w:t>
      </w:r>
      <w:r>
        <w:rPr>
          <w:rFonts w:hint="eastAsia" w:ascii="微软雅黑" w:hAnsi="微软雅黑" w:eastAsia="微软雅黑" w:cs="微软雅黑"/>
          <w:bCs/>
          <w:color w:val="000000"/>
          <w:kern w:val="2"/>
          <w:sz w:val="21"/>
          <w:szCs w:val="21"/>
          <w:lang w:eastAsia="zh-CN"/>
        </w:rPr>
        <w:t>决定</w:t>
      </w:r>
      <w:r>
        <w:rPr>
          <w:rFonts w:hint="eastAsia" w:ascii="微软雅黑" w:hAnsi="微软雅黑" w:eastAsia="微软雅黑" w:cs="微软雅黑"/>
          <w:bCs/>
          <w:color w:val="000000"/>
          <w:kern w:val="2"/>
          <w:sz w:val="21"/>
          <w:szCs w:val="21"/>
          <w:lang w:eastAsia="zh-CN"/>
        </w:rPr>
        <w:t>给予</w:t>
      </w:r>
      <w:r>
        <w:rPr>
          <w:rFonts w:hint="eastAsia" w:ascii="微软雅黑" w:hAnsi="微软雅黑" w:eastAsia="微软雅黑" w:cs="微软雅黑"/>
          <w:bCs/>
          <w:color w:val="000000"/>
          <w:kern w:val="2"/>
          <w:sz w:val="21"/>
          <w:szCs w:val="21"/>
          <w:lang w:val="en-US" w:eastAsia="zh-CN"/>
        </w:rPr>
        <w:t>腾讯5</w:t>
      </w:r>
      <w:r>
        <w:rPr>
          <w:rFonts w:hint="eastAsia" w:ascii="微软雅黑" w:hAnsi="微软雅黑" w:eastAsia="微软雅黑" w:cs="微软雅黑"/>
          <w:bCs/>
          <w:color w:val="000000"/>
          <w:kern w:val="2"/>
          <w:sz w:val="21"/>
          <w:szCs w:val="21"/>
          <w:lang w:eastAsia="zh-CN"/>
        </w:rPr>
        <w:t>0万元罚款的行政处罚。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highlight w:val="yellow"/>
          <w:lang w:val="en-US" w:eastAsia="zh-CN"/>
        </w:rPr>
      </w:pPr>
      <w:r>
        <w:rPr>
          <w:rFonts w:hint="eastAsia" w:ascii="微软雅黑" w:hAnsi="微软雅黑" w:eastAsia="微软雅黑" w:cs="微软雅黑"/>
          <w:bCs/>
          <w:color w:val="000000"/>
          <w:kern w:val="2"/>
          <w:sz w:val="21"/>
          <w:szCs w:val="21"/>
          <w:lang w:eastAsia="zh-CN"/>
        </w:rPr>
        <w:t>当事人应当自收到本行政处罚决定书之日起十五日内，携缴款码到</w:t>
      </w:r>
      <w:r>
        <w:rPr>
          <w:rFonts w:hint="eastAsia" w:ascii="微软雅黑" w:hAnsi="微软雅黑" w:eastAsia="微软雅黑" w:cs="微软雅黑"/>
          <w:bCs/>
          <w:color w:val="000000"/>
          <w:kern w:val="2"/>
          <w:sz w:val="21"/>
          <w:szCs w:val="21"/>
          <w:lang w:val="en-US" w:eastAsia="zh-CN"/>
        </w:rPr>
        <w:t>15家中央财政非税收入收缴代理银行（工、农、中、建、交、中信、光大、招商、邮储、华夏、平安、兴业、民生、广发、浙商）任一银行网点、网上银行缴纳罚款。</w:t>
      </w:r>
      <w:r>
        <w:rPr>
          <w:rFonts w:hint="eastAsia" w:ascii="微软雅黑" w:hAnsi="微软雅黑" w:eastAsia="微软雅黑" w:cs="微软雅黑"/>
          <w:bCs/>
          <w:color w:val="000000"/>
          <w:kern w:val="2"/>
          <w:sz w:val="21"/>
          <w:szCs w:val="21"/>
          <w:lang w:eastAsia="zh-CN"/>
        </w:rPr>
        <w:t>缴款码：</w:t>
      </w:r>
      <w:r>
        <w:rPr>
          <w:rFonts w:hint="eastAsia" w:ascii="微软雅黑" w:hAnsi="微软雅黑" w:eastAsia="微软雅黑" w:cs="微软雅黑"/>
          <w:bCs/>
          <w:color w:val="000000"/>
          <w:kern w:val="2"/>
          <w:sz w:val="21"/>
          <w:szCs w:val="21"/>
          <w:lang w:val="en-US" w:eastAsia="zh-CN"/>
        </w:rPr>
        <w:t>0000002102114738。</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 xml:space="preserve">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pStyle w:val="2"/>
        <w:rPr>
          <w:rFonts w:hint="eastAsia" w:ascii="微软雅黑" w:hAnsi="微软雅黑" w:eastAsia="微软雅黑" w:cs="微软雅黑"/>
          <w:sz w:val="21"/>
          <w:szCs w:val="21"/>
          <w:lang w:eastAsia="zh-CN"/>
        </w:rPr>
      </w:pP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16</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（此件公开发布）</w:t>
      </w:r>
    </w:p>
    <w:p>
      <w:pPr>
        <w:keepNext w:val="0"/>
        <w:keepLines w:val="0"/>
        <w:pageBreakBefore w:val="0"/>
        <w:widowControl w:val="0"/>
        <w:kinsoku/>
        <w:wordWrap/>
        <w:topLinePunct w:val="0"/>
        <w:bidi w:val="0"/>
        <w:spacing w:line="594" w:lineRule="exact"/>
        <w:textAlignment w:val="auto"/>
        <w:rPr>
          <w:rFonts w:hint="eastAsia" w:ascii="微软雅黑" w:hAnsi="微软雅黑" w:eastAsia="微软雅黑" w:cs="微软雅黑"/>
          <w:sz w:val="21"/>
          <w:szCs w:val="21"/>
        </w:rPr>
      </w:pPr>
    </w:p>
    <w:p>
      <w:pPr>
        <w:keepNext w:val="0"/>
        <w:keepLines w:val="0"/>
        <w:pageBreakBefore w:val="0"/>
        <w:widowControl w:val="0"/>
        <w:kinsoku/>
        <w:wordWrap/>
        <w:topLinePunct w:val="0"/>
        <w:bidi w:val="0"/>
        <w:spacing w:line="594" w:lineRule="exact"/>
        <w:textAlignment w:val="auto"/>
        <w:rPr>
          <w:rFonts w:hint="eastAsia" w:ascii="微软雅黑" w:hAnsi="微软雅黑" w:eastAsia="微软雅黑" w:cs="微软雅黑"/>
          <w:sz w:val="21"/>
          <w:szCs w:val="21"/>
        </w:rPr>
      </w:pPr>
    </w:p>
    <w:bookmarkEnd w:id="0"/>
    <w:sectPr>
      <w:footerReference r:id="rId3" w:type="default"/>
      <w:footerReference r:id="rId4" w:type="even"/>
      <w:pgSz w:w="11906" w:h="16838"/>
      <w:pgMar w:top="1440" w:right="1803" w:bottom="1440" w:left="1803" w:header="851" w:footer="1814" w:gutter="0"/>
      <w:cols w:space="0" w:num="1"/>
      <w:rtlGutter w:val="0"/>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9474A"/>
    <w:rsid w:val="26637064"/>
    <w:rsid w:val="2D583B73"/>
    <w:rsid w:val="2E443989"/>
    <w:rsid w:val="385C7EA8"/>
    <w:rsid w:val="42075BDD"/>
    <w:rsid w:val="43FF4C44"/>
    <w:rsid w:val="61166E86"/>
    <w:rsid w:val="77CC73CB"/>
    <w:rsid w:val="7DFD65F8"/>
    <w:rsid w:val="7FB248B4"/>
    <w:rsid w:val="7FFDF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Normal Indent"/>
    <w:basedOn w:val="1"/>
    <w:qFormat/>
    <w:uiPriority w:val="0"/>
    <w:pPr>
      <w:spacing w:line="360" w:lineRule="exact"/>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xielin</dc:creator>
  <cp:lastModifiedBy>陈永仁</cp:lastModifiedBy>
  <dcterms:modified xsi:type="dcterms:W3CDTF">2021-11-21T13:56:58Z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BA67D7198AC14A748153BFB7B59655BA</vt:lpwstr>
  </property>
</Properties>
</file>