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000000"/>
          <w:kern w:val="2"/>
          <w:sz w:val="21"/>
          <w:szCs w:val="21"/>
        </w:rPr>
      </w:pPr>
      <w:bookmarkStart w:id="0" w:name="_GoBack"/>
      <w:r>
        <w:rPr>
          <w:rFonts w:hint="eastAsia" w:ascii="微软雅黑" w:hAnsi="微软雅黑" w:eastAsia="微软雅黑" w:cs="微软雅黑"/>
          <w:bCs/>
          <w:color w:val="000000"/>
          <w:spacing w:val="202"/>
          <w:kern w:val="0"/>
          <w:sz w:val="21"/>
          <w:szCs w:val="21"/>
          <w:fitText w:val="5742" w:id="177419452"/>
        </w:rPr>
        <w:t>国家市场监督管理总</w:t>
      </w:r>
      <w:r>
        <w:rPr>
          <w:rFonts w:hint="eastAsia" w:ascii="微软雅黑" w:hAnsi="微软雅黑" w:eastAsia="微软雅黑" w:cs="微软雅黑"/>
          <w:bCs/>
          <w:color w:val="000000"/>
          <w:spacing w:val="3"/>
          <w:kern w:val="0"/>
          <w:sz w:val="21"/>
          <w:szCs w:val="21"/>
          <w:fitText w:val="5742" w:id="177419452"/>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356"/>
          <w:kern w:val="0"/>
          <w:sz w:val="21"/>
          <w:szCs w:val="21"/>
          <w:fitText w:val="5742" w:id="1"/>
        </w:rPr>
        <w:t>行政处罚决定</w:t>
      </w:r>
      <w:r>
        <w:rPr>
          <w:rFonts w:hint="eastAsia" w:ascii="微软雅黑" w:hAnsi="微软雅黑" w:eastAsia="微软雅黑" w:cs="微软雅黑"/>
          <w:bCs/>
          <w:color w:val="000000"/>
          <w:spacing w:val="0"/>
          <w:kern w:val="0"/>
          <w:sz w:val="21"/>
          <w:szCs w:val="21"/>
          <w:fitText w:val="5742" w:id="1"/>
        </w:rPr>
        <w:t>书</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国市监处〔202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45</w:t>
      </w:r>
      <w:r>
        <w:rPr>
          <w:rFonts w:hint="eastAsia" w:ascii="微软雅黑" w:hAnsi="微软雅黑" w:eastAsia="微软雅黑" w:cs="微软雅黑"/>
          <w:kern w:val="2"/>
          <w:sz w:val="21"/>
          <w:szCs w:val="21"/>
        </w:rPr>
        <w:t>号</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kern w:val="2"/>
          <w:sz w:val="21"/>
          <w:szCs w:val="21"/>
          <w:highlight w:val="none"/>
        </w:rPr>
        <w:t>当事人：</w:t>
      </w:r>
      <w:r>
        <w:rPr>
          <w:rFonts w:hint="eastAsia" w:ascii="微软雅黑" w:hAnsi="微软雅黑" w:eastAsia="微软雅黑" w:cs="微软雅黑"/>
          <w:sz w:val="21"/>
          <w:szCs w:val="21"/>
          <w:highlight w:val="none"/>
          <w:lang w:eastAsia="zh-CN"/>
        </w:rPr>
        <w:t>华夏出行有限公司</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highlight w:val="none"/>
          <w:lang w:val="en-US" w:eastAsia="zh-CN"/>
        </w:rPr>
      </w:pPr>
      <w:r>
        <w:rPr>
          <w:rFonts w:hint="eastAsia" w:ascii="微软雅黑" w:hAnsi="微软雅黑" w:eastAsia="微软雅黑" w:cs="微软雅黑"/>
          <w:kern w:val="2"/>
          <w:sz w:val="21"/>
          <w:szCs w:val="21"/>
          <w:highlight w:val="none"/>
        </w:rPr>
        <w:t>住  所：</w:t>
      </w:r>
      <w:r>
        <w:rPr>
          <w:rFonts w:hint="eastAsia" w:ascii="微软雅黑" w:hAnsi="微软雅黑" w:eastAsia="微软雅黑" w:cs="微软雅黑"/>
          <w:kern w:val="2"/>
          <w:sz w:val="21"/>
          <w:szCs w:val="21"/>
          <w:highlight w:val="none"/>
          <w:lang w:eastAsia="zh-CN"/>
        </w:rPr>
        <w:t>北京市朝阳区向军北里28号院1号楼5层502-5号</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kern w:val="2"/>
          <w:sz w:val="21"/>
          <w:szCs w:val="21"/>
          <w:highlight w:val="none"/>
        </w:rPr>
        <w:t>当事人：</w:t>
      </w:r>
      <w:r>
        <w:rPr>
          <w:rFonts w:hint="eastAsia" w:ascii="微软雅黑" w:hAnsi="微软雅黑" w:eastAsia="微软雅黑" w:cs="微软雅黑"/>
          <w:sz w:val="21"/>
          <w:szCs w:val="21"/>
          <w:highlight w:val="none"/>
          <w:lang w:eastAsia="zh-CN"/>
        </w:rPr>
        <w:t>惠迪（天津）商务服务有限公司</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highlight w:val="none"/>
        </w:rPr>
        <w:t>住  所：</w:t>
      </w:r>
      <w:r>
        <w:rPr>
          <w:rFonts w:hint="eastAsia" w:ascii="微软雅黑" w:hAnsi="微软雅黑" w:eastAsia="微软雅黑" w:cs="微软雅黑"/>
          <w:kern w:val="2"/>
          <w:sz w:val="21"/>
          <w:szCs w:val="21"/>
          <w:highlight w:val="none"/>
          <w:lang w:eastAsia="zh-CN"/>
        </w:rPr>
        <w:t>天津经济技术开发区南港工业综合服务区办公室D座二层219-33室</w:t>
      </w:r>
    </w:p>
    <w:p>
      <w:pPr>
        <w:pStyle w:val="2"/>
        <w:rPr>
          <w:rFonts w:hint="eastAsia" w:ascii="微软雅黑" w:hAnsi="微软雅黑" w:eastAsia="微软雅黑" w:cs="微软雅黑"/>
          <w:sz w:val="21"/>
          <w:szCs w:val="21"/>
        </w:rPr>
      </w:pP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根据《中华人民共和国反垄断法》（以下简称《反垄断法》）《经营者集中审查暂行规定》，本机关于</w:t>
      </w:r>
      <w:r>
        <w:rPr>
          <w:rFonts w:hint="eastAsia" w:ascii="微软雅黑" w:hAnsi="微软雅黑" w:eastAsia="微软雅黑" w:cs="微软雅黑"/>
          <w:sz w:val="21"/>
          <w:szCs w:val="21"/>
          <w:lang w:val="en-US" w:eastAsia="zh-CN"/>
        </w:rPr>
        <w:t>2021年3</w:t>
      </w:r>
      <w:r>
        <w:rPr>
          <w:rFonts w:hint="eastAsia" w:ascii="微软雅黑" w:hAnsi="微软雅黑" w:eastAsia="微软雅黑" w:cs="微软雅黑"/>
          <w:sz w:val="21"/>
          <w:szCs w:val="21"/>
          <w:lang w:val="en-US" w:eastAsia="zh-CN"/>
        </w:rPr>
        <w:t>月</w:t>
      </w:r>
      <w:r>
        <w:rPr>
          <w:rFonts w:hint="eastAsia" w:ascii="微软雅黑" w:hAnsi="微软雅黑" w:eastAsia="微软雅黑" w:cs="微软雅黑"/>
          <w:sz w:val="21"/>
          <w:szCs w:val="21"/>
          <w:lang w:val="en-US" w:eastAsia="zh-CN"/>
        </w:rPr>
        <w:t>19</w:t>
      </w:r>
      <w:r>
        <w:rPr>
          <w:rFonts w:hint="eastAsia" w:ascii="微软雅黑" w:hAnsi="微软雅黑" w:eastAsia="微软雅黑" w:cs="微软雅黑"/>
          <w:sz w:val="21"/>
          <w:szCs w:val="21"/>
          <w:lang w:val="en-US" w:eastAsia="zh-CN"/>
        </w:rPr>
        <w:t>日</w:t>
      </w:r>
      <w:r>
        <w:rPr>
          <w:rFonts w:hint="eastAsia" w:ascii="微软雅黑" w:hAnsi="微软雅黑" w:eastAsia="微软雅黑" w:cs="微软雅黑"/>
          <w:kern w:val="2"/>
          <w:sz w:val="21"/>
          <w:szCs w:val="21"/>
          <w:lang w:eastAsia="zh-CN"/>
        </w:rPr>
        <w:t>对</w:t>
      </w:r>
      <w:r>
        <w:rPr>
          <w:rFonts w:hint="eastAsia" w:ascii="微软雅黑" w:hAnsi="微软雅黑" w:eastAsia="微软雅黑" w:cs="微软雅黑"/>
          <w:sz w:val="21"/>
          <w:szCs w:val="21"/>
          <w:lang w:eastAsia="zh-CN"/>
        </w:rPr>
        <w:t>华夏出行有限公司（以下简称华夏出行）与惠迪（天津）商务服务有限公司（以下简称惠迪天津）设立合营企业北京华滴有限责任公司</w:t>
      </w:r>
      <w:r>
        <w:rPr>
          <w:rFonts w:hint="eastAsia" w:ascii="微软雅黑" w:hAnsi="微软雅黑" w:eastAsia="微软雅黑" w:cs="微软雅黑"/>
          <w:kern w:val="2"/>
          <w:sz w:val="21"/>
          <w:szCs w:val="21"/>
        </w:rPr>
        <w:t>违法实施经营者集中案进行立案调查。</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经查，该案构成违法实施的经营者集中，但不具有排除、限制竞争的效果。本机关按照《中华人民共和国行政处罚法》（以下简称《行政处罚法》）的规定，向</w:t>
      </w:r>
      <w:r>
        <w:rPr>
          <w:rFonts w:hint="eastAsia" w:ascii="微软雅黑" w:hAnsi="微软雅黑" w:eastAsia="微软雅黑" w:cs="微软雅黑"/>
          <w:sz w:val="21"/>
          <w:szCs w:val="21"/>
          <w:lang w:eastAsia="zh-CN"/>
        </w:rPr>
        <w:t>华夏出行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eastAsia="zh-CN"/>
        </w:rPr>
        <w:t>惠迪天津</w:t>
      </w:r>
      <w:r>
        <w:rPr>
          <w:rFonts w:hint="eastAsia" w:ascii="微软雅黑" w:hAnsi="微软雅黑" w:eastAsia="微软雅黑" w:cs="微软雅黑"/>
          <w:kern w:val="2"/>
          <w:sz w:val="21"/>
          <w:szCs w:val="21"/>
        </w:rPr>
        <w:t>送达了《行政处罚告知书》，告知其拟作出行政处罚决定的事实、理由、证据、处罚内容，以及其依法享有的陈述权、申辩权和要求听证权。</w:t>
      </w:r>
      <w:r>
        <w:rPr>
          <w:rFonts w:hint="eastAsia" w:ascii="微软雅黑" w:hAnsi="微软雅黑" w:eastAsia="微软雅黑" w:cs="微软雅黑"/>
          <w:sz w:val="21"/>
          <w:szCs w:val="21"/>
          <w:lang w:eastAsia="zh-CN"/>
        </w:rPr>
        <w:t>华夏出行、惠迪天津</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bCs/>
          <w:sz w:val="21"/>
          <w:szCs w:val="21"/>
        </w:rPr>
      </w:pPr>
      <w:r>
        <w:rPr>
          <w:rFonts w:hint="eastAsia" w:ascii="微软雅黑" w:hAnsi="微软雅黑" w:eastAsia="微软雅黑" w:cs="微软雅黑"/>
          <w:bCs/>
          <w:sz w:val="21"/>
          <w:szCs w:val="21"/>
          <w:lang w:eastAsia="zh-CN"/>
        </w:rPr>
        <w:t>一、</w:t>
      </w:r>
      <w:r>
        <w:rPr>
          <w:rFonts w:hint="eastAsia" w:ascii="微软雅黑" w:hAnsi="微软雅黑" w:eastAsia="微软雅黑" w:cs="微软雅黑"/>
          <w:bCs/>
          <w:sz w:val="21"/>
          <w:szCs w:val="21"/>
        </w:rPr>
        <w:t>基本情况</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（一）交易方。</w:t>
      </w:r>
    </w:p>
    <w:p>
      <w:pPr>
        <w:pStyle w:val="10"/>
        <w:keepNext w:val="0"/>
        <w:keepLines w:val="0"/>
        <w:pageBreakBefore w:val="0"/>
        <w:widowControl w:val="0"/>
        <w:kinsoku/>
        <w:wordWrap/>
        <w:topLinePunct w:val="0"/>
        <w:bidi w:val="0"/>
        <w:adjustRightInd w:val="0"/>
        <w:snapToGrid w:val="0"/>
        <w:spacing w:line="594" w:lineRule="exact"/>
        <w:ind w:left="0" w:firstLine="408" w:firstLineChars="200"/>
        <w:textAlignment w:val="auto"/>
        <w:rPr>
          <w:rFonts w:hint="eastAsia" w:ascii="微软雅黑" w:hAnsi="微软雅黑" w:eastAsia="微软雅黑" w:cs="微软雅黑"/>
          <w:b/>
          <w:sz w:val="21"/>
          <w:szCs w:val="21"/>
          <w:lang w:eastAsia="zh-CN"/>
        </w:rPr>
      </w:pPr>
      <w:r>
        <w:rPr>
          <w:rFonts w:hint="eastAsia" w:ascii="微软雅黑" w:hAnsi="微软雅黑" w:eastAsia="微软雅黑" w:cs="微软雅黑"/>
          <w:b w:val="0"/>
          <w:bCs/>
          <w:sz w:val="21"/>
          <w:szCs w:val="21"/>
          <w:lang w:eastAsia="zh-CN"/>
        </w:rPr>
        <w:t>合营方一</w:t>
      </w:r>
      <w:r>
        <w:rPr>
          <w:rFonts w:hint="eastAsia" w:ascii="微软雅黑" w:hAnsi="微软雅黑" w:eastAsia="微软雅黑" w:cs="微软雅黑"/>
          <w:b w:val="0"/>
          <w:bCs/>
          <w:sz w:val="21"/>
          <w:szCs w:val="21"/>
        </w:rPr>
        <w:t>：</w:t>
      </w:r>
      <w:r>
        <w:rPr>
          <w:rFonts w:hint="eastAsia" w:ascii="微软雅黑" w:hAnsi="微软雅黑" w:eastAsia="微软雅黑" w:cs="微软雅黑"/>
          <w:b w:val="0"/>
          <w:bCs/>
          <w:sz w:val="21"/>
          <w:szCs w:val="21"/>
          <w:lang w:eastAsia="zh-CN"/>
        </w:rPr>
        <w:t>华夏出行</w:t>
      </w:r>
      <w:r>
        <w:rPr>
          <w:rFonts w:hint="eastAsia" w:ascii="微软雅黑" w:hAnsi="微软雅黑" w:eastAsia="微软雅黑" w:cs="微软雅黑"/>
          <w:b w:val="0"/>
          <w:bCs/>
          <w:sz w:val="21"/>
          <w:szCs w:val="21"/>
          <w:lang w:eastAsia="zh-CN"/>
        </w:rPr>
        <w:t>。</w:t>
      </w:r>
      <w:r>
        <w:rPr>
          <w:rFonts w:hint="eastAsia" w:ascii="微软雅黑" w:hAnsi="微软雅黑" w:eastAsia="微软雅黑" w:cs="微软雅黑"/>
          <w:bCs/>
          <w:sz w:val="21"/>
          <w:szCs w:val="21"/>
        </w:rPr>
        <w:t>201</w:t>
      </w:r>
      <w:r>
        <w:rPr>
          <w:rFonts w:hint="eastAsia" w:ascii="微软雅黑" w:hAnsi="微软雅黑" w:eastAsia="微软雅黑" w:cs="微软雅黑"/>
          <w:bCs/>
          <w:sz w:val="21"/>
          <w:szCs w:val="21"/>
          <w:lang w:val="en-US" w:eastAsia="zh-CN"/>
        </w:rPr>
        <w:t>7</w:t>
      </w:r>
      <w:r>
        <w:rPr>
          <w:rFonts w:hint="eastAsia" w:ascii="微软雅黑" w:hAnsi="微软雅黑" w:eastAsia="微软雅黑" w:cs="微软雅黑"/>
          <w:bCs/>
          <w:sz w:val="21"/>
          <w:szCs w:val="21"/>
        </w:rPr>
        <w:t>年于中国</w:t>
      </w:r>
      <w:r>
        <w:rPr>
          <w:rFonts w:hint="eastAsia" w:ascii="微软雅黑" w:hAnsi="微软雅黑" w:eastAsia="微软雅黑" w:cs="微软雅黑"/>
          <w:bCs/>
          <w:sz w:val="21"/>
          <w:szCs w:val="21"/>
          <w:lang w:eastAsia="zh-CN"/>
        </w:rPr>
        <w:t>北京</w:t>
      </w:r>
      <w:r>
        <w:rPr>
          <w:rFonts w:hint="eastAsia" w:ascii="微软雅黑" w:hAnsi="微软雅黑" w:eastAsia="微软雅黑" w:cs="微软雅黑"/>
          <w:bCs/>
          <w:sz w:val="21"/>
          <w:szCs w:val="21"/>
        </w:rPr>
        <w:t>注册成立</w:t>
      </w:r>
      <w:r>
        <w:rPr>
          <w:rFonts w:hint="eastAsia" w:ascii="微软雅黑" w:hAnsi="微软雅黑" w:eastAsia="微软雅黑" w:cs="微软雅黑"/>
          <w:bCs/>
          <w:sz w:val="21"/>
          <w:szCs w:val="21"/>
        </w:rPr>
        <w:t>，</w:t>
      </w:r>
      <w:r>
        <w:rPr>
          <w:rFonts w:hint="eastAsia" w:ascii="微软雅黑" w:hAnsi="微软雅黑" w:eastAsia="微软雅黑" w:cs="微软雅黑"/>
          <w:bCs/>
          <w:sz w:val="21"/>
          <w:szCs w:val="21"/>
        </w:rPr>
        <w:t>最终控制人是</w:t>
      </w:r>
      <w:r>
        <w:rPr>
          <w:rFonts w:hint="eastAsia" w:ascii="微软雅黑" w:hAnsi="微软雅黑" w:eastAsia="微软雅黑" w:cs="微软雅黑"/>
          <w:bCs/>
          <w:sz w:val="21"/>
          <w:szCs w:val="21"/>
        </w:rPr>
        <w:t>（略）</w:t>
      </w:r>
      <w:r>
        <w:rPr>
          <w:rFonts w:hint="eastAsia" w:ascii="微软雅黑" w:hAnsi="微软雅黑" w:eastAsia="微软雅黑" w:cs="微软雅黑"/>
          <w:bCs/>
          <w:sz w:val="21"/>
          <w:szCs w:val="21"/>
          <w:lang w:eastAsia="zh-CN"/>
        </w:rPr>
        <w:t>。</w:t>
      </w:r>
      <w:r>
        <w:rPr>
          <w:rFonts w:hint="eastAsia" w:ascii="微软雅黑" w:hAnsi="微软雅黑" w:eastAsia="微软雅黑" w:cs="微软雅黑"/>
          <w:bCs/>
          <w:sz w:val="21"/>
          <w:szCs w:val="21"/>
          <w:highlight w:val="none"/>
          <w:lang w:eastAsia="zh-CN"/>
        </w:rPr>
        <w:t>华夏出行主要从事汽车经营性租赁，</w:t>
      </w:r>
      <w:r>
        <w:rPr>
          <w:rFonts w:hint="eastAsia" w:ascii="微软雅黑" w:hAnsi="微软雅黑" w:eastAsia="微软雅黑" w:cs="微软雅黑"/>
          <w:bCs/>
          <w:sz w:val="21"/>
          <w:szCs w:val="21"/>
        </w:rPr>
        <w:t>（略）</w:t>
      </w:r>
      <w:r>
        <w:rPr>
          <w:rFonts w:hint="eastAsia" w:ascii="微软雅黑" w:hAnsi="微软雅黑" w:eastAsia="微软雅黑" w:cs="微软雅黑"/>
          <w:bCs/>
          <w:sz w:val="21"/>
          <w:szCs w:val="21"/>
          <w:highlight w:val="none"/>
          <w:lang w:eastAsia="zh-CN"/>
        </w:rPr>
        <w:t>主要从事</w:t>
      </w:r>
      <w:r>
        <w:rPr>
          <w:rFonts w:hint="eastAsia" w:ascii="微软雅黑" w:hAnsi="微软雅黑" w:eastAsia="微软雅黑" w:cs="微软雅黑"/>
          <w:bCs/>
          <w:sz w:val="21"/>
          <w:szCs w:val="21"/>
        </w:rPr>
        <w:t>（略）</w:t>
      </w:r>
      <w:r>
        <w:rPr>
          <w:rFonts w:hint="eastAsia" w:ascii="微软雅黑" w:hAnsi="微软雅黑" w:eastAsia="微软雅黑" w:cs="微软雅黑"/>
          <w:bCs/>
          <w:sz w:val="21"/>
          <w:szCs w:val="21"/>
          <w:highlight w:val="none"/>
        </w:rPr>
        <w:t>。</w:t>
      </w:r>
      <w:r>
        <w:rPr>
          <w:rFonts w:hint="eastAsia" w:ascii="微软雅黑" w:hAnsi="微软雅黑" w:eastAsia="微软雅黑" w:cs="微软雅黑"/>
          <w:b w:val="0"/>
          <w:bCs/>
          <w:sz w:val="21"/>
          <w:szCs w:val="21"/>
          <w:highlight w:val="none"/>
        </w:rPr>
        <w:t>2017年全球营业额</w:t>
      </w:r>
      <w:r>
        <w:rPr>
          <w:rFonts w:hint="eastAsia" w:ascii="微软雅黑" w:hAnsi="微软雅黑" w:eastAsia="微软雅黑" w:cs="微软雅黑"/>
          <w:b w:val="0"/>
          <w:bCs/>
          <w:sz w:val="21"/>
          <w:szCs w:val="21"/>
          <w:highlight w:val="none"/>
          <w:lang w:eastAsia="zh-CN"/>
        </w:rPr>
        <w:t>为</w:t>
      </w:r>
      <w:r>
        <w:rPr>
          <w:rFonts w:hint="eastAsia" w:ascii="微软雅黑" w:hAnsi="微软雅黑" w:eastAsia="微软雅黑" w:cs="微软雅黑"/>
          <w:bCs/>
          <w:sz w:val="21"/>
          <w:szCs w:val="21"/>
        </w:rPr>
        <w:t>（略）</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val="0"/>
          <w:bCs/>
          <w:sz w:val="21"/>
          <w:szCs w:val="21"/>
          <w:highlight w:val="none"/>
        </w:rPr>
        <w:t>中国境内营业额为</w:t>
      </w:r>
      <w:r>
        <w:rPr>
          <w:rFonts w:hint="eastAsia" w:ascii="微软雅黑" w:hAnsi="微软雅黑" w:eastAsia="微软雅黑" w:cs="微软雅黑"/>
          <w:bCs/>
          <w:sz w:val="21"/>
          <w:szCs w:val="21"/>
        </w:rPr>
        <w:t>（略）</w:t>
      </w:r>
      <w:r>
        <w:rPr>
          <w:rFonts w:hint="eastAsia" w:ascii="微软雅黑" w:hAnsi="微软雅黑" w:eastAsia="微软雅黑" w:cs="微软雅黑"/>
          <w:b w:val="0"/>
          <w:bCs/>
          <w:sz w:val="21"/>
          <w:szCs w:val="21"/>
          <w:highlight w:val="none"/>
        </w:rPr>
        <w:t>。</w:t>
      </w:r>
    </w:p>
    <w:p>
      <w:pPr>
        <w:pStyle w:val="10"/>
        <w:keepNext w:val="0"/>
        <w:keepLines w:val="0"/>
        <w:pageBreakBefore w:val="0"/>
        <w:widowControl w:val="0"/>
        <w:kinsoku/>
        <w:wordWrap/>
        <w:topLinePunct w:val="0"/>
        <w:bidi w:val="0"/>
        <w:adjustRightInd w:val="0"/>
        <w:snapToGrid w:val="0"/>
        <w:spacing w:line="594" w:lineRule="exact"/>
        <w:ind w:left="0" w:firstLine="408" w:firstLineChars="200"/>
        <w:textAlignment w:val="auto"/>
        <w:rPr>
          <w:rFonts w:hint="eastAsia" w:ascii="微软雅黑" w:hAnsi="微软雅黑" w:eastAsia="微软雅黑" w:cs="微软雅黑"/>
          <w:bCs/>
          <w:sz w:val="21"/>
          <w:szCs w:val="21"/>
        </w:rPr>
      </w:pPr>
      <w:r>
        <w:rPr>
          <w:rFonts w:hint="eastAsia" w:ascii="微软雅黑" w:hAnsi="微软雅黑" w:eastAsia="微软雅黑" w:cs="微软雅黑"/>
          <w:b w:val="0"/>
          <w:bCs/>
          <w:sz w:val="21"/>
          <w:szCs w:val="21"/>
          <w:lang w:eastAsia="zh-CN"/>
        </w:rPr>
        <w:t>合营方二</w:t>
      </w:r>
      <w:r>
        <w:rPr>
          <w:rFonts w:hint="eastAsia" w:ascii="微软雅黑" w:hAnsi="微软雅黑" w:eastAsia="微软雅黑" w:cs="微软雅黑"/>
          <w:b w:val="0"/>
          <w:bCs/>
          <w:sz w:val="21"/>
          <w:szCs w:val="21"/>
        </w:rPr>
        <w:t>：</w:t>
      </w:r>
      <w:r>
        <w:rPr>
          <w:rFonts w:hint="eastAsia" w:ascii="微软雅黑" w:hAnsi="微软雅黑" w:eastAsia="微软雅黑" w:cs="微软雅黑"/>
          <w:b w:val="0"/>
          <w:bCs/>
          <w:sz w:val="21"/>
          <w:szCs w:val="21"/>
          <w:lang w:eastAsia="zh-CN"/>
        </w:rPr>
        <w:t>惠迪天津</w:t>
      </w:r>
      <w:r>
        <w:rPr>
          <w:rFonts w:hint="eastAsia" w:ascii="微软雅黑" w:hAnsi="微软雅黑" w:eastAsia="微软雅黑" w:cs="微软雅黑"/>
          <w:b w:val="0"/>
          <w:bCs/>
          <w:sz w:val="21"/>
          <w:szCs w:val="21"/>
          <w:lang w:eastAsia="zh-CN"/>
        </w:rPr>
        <w:t>。</w:t>
      </w:r>
      <w:r>
        <w:rPr>
          <w:rFonts w:hint="eastAsia" w:ascii="微软雅黑" w:hAnsi="微软雅黑" w:eastAsia="微软雅黑" w:cs="微软雅黑"/>
          <w:bCs/>
          <w:sz w:val="21"/>
          <w:szCs w:val="21"/>
        </w:rPr>
        <w:t>2015年于中国天津注册成立</w:t>
      </w:r>
      <w:r>
        <w:rPr>
          <w:rFonts w:hint="eastAsia" w:ascii="微软雅黑" w:hAnsi="微软雅黑" w:eastAsia="微软雅黑" w:cs="微软雅黑"/>
          <w:bCs/>
          <w:sz w:val="21"/>
          <w:szCs w:val="21"/>
        </w:rPr>
        <w:t>，</w:t>
      </w:r>
      <w:r>
        <w:rPr>
          <w:rFonts w:hint="eastAsia" w:ascii="微软雅黑" w:hAnsi="微软雅黑" w:eastAsia="微软雅黑" w:cs="微软雅黑"/>
          <w:bCs/>
          <w:sz w:val="21"/>
          <w:szCs w:val="21"/>
        </w:rPr>
        <w:t>是小桔快智公司（</w:t>
      </w:r>
      <w:r>
        <w:rPr>
          <w:rFonts w:hint="eastAsia" w:ascii="微软雅黑" w:hAnsi="微软雅黑" w:eastAsia="微软雅黑" w:cs="微软雅黑"/>
          <w:bCs/>
          <w:sz w:val="21"/>
          <w:szCs w:val="21"/>
        </w:rPr>
        <w:t>Xiaoju Kuaizhi Inc.</w:t>
      </w:r>
      <w:r>
        <w:rPr>
          <w:rFonts w:hint="eastAsia" w:ascii="微软雅黑" w:hAnsi="微软雅黑" w:eastAsia="微软雅黑" w:cs="微软雅黑"/>
          <w:bCs/>
          <w:sz w:val="21"/>
          <w:szCs w:val="21"/>
        </w:rPr>
        <w:t>，以下简称滴滴）全资子公司，</w:t>
      </w:r>
      <w:r>
        <w:rPr>
          <w:rFonts w:hint="eastAsia" w:ascii="微软雅黑" w:hAnsi="微软雅黑" w:eastAsia="微软雅黑" w:cs="微软雅黑"/>
          <w:bCs/>
          <w:sz w:val="21"/>
          <w:szCs w:val="21"/>
        </w:rPr>
        <w:t>最终控制人</w:t>
      </w:r>
      <w:r>
        <w:rPr>
          <w:rFonts w:hint="eastAsia" w:ascii="微软雅黑" w:hAnsi="微软雅黑" w:eastAsia="微软雅黑" w:cs="微软雅黑"/>
          <w:bCs/>
          <w:sz w:val="21"/>
          <w:szCs w:val="21"/>
        </w:rPr>
        <w:t>是</w:t>
      </w:r>
      <w:r>
        <w:rPr>
          <w:rFonts w:hint="eastAsia" w:ascii="微软雅黑" w:hAnsi="微软雅黑" w:eastAsia="微软雅黑" w:cs="微软雅黑"/>
          <w:bCs/>
          <w:sz w:val="21"/>
          <w:szCs w:val="21"/>
        </w:rPr>
        <w:t>（略）</w:t>
      </w:r>
      <w:r>
        <w:rPr>
          <w:rFonts w:hint="eastAsia" w:ascii="微软雅黑" w:hAnsi="微软雅黑" w:eastAsia="微软雅黑" w:cs="微软雅黑"/>
          <w:bCs/>
          <w:sz w:val="21"/>
          <w:szCs w:val="21"/>
        </w:rPr>
        <w:t>。</w:t>
      </w:r>
      <w:r>
        <w:rPr>
          <w:rFonts w:hint="eastAsia" w:ascii="微软雅黑" w:hAnsi="微软雅黑" w:eastAsia="微软雅黑" w:cs="微软雅黑"/>
          <w:bCs/>
          <w:sz w:val="21"/>
          <w:szCs w:val="21"/>
        </w:rPr>
        <w:t>惠迪天津</w:t>
      </w:r>
      <w:r>
        <w:rPr>
          <w:rFonts w:hint="eastAsia" w:ascii="微软雅黑" w:hAnsi="微软雅黑" w:eastAsia="微软雅黑" w:cs="微软雅黑"/>
          <w:bCs/>
          <w:sz w:val="21"/>
          <w:szCs w:val="21"/>
          <w:lang w:eastAsia="zh-CN"/>
        </w:rPr>
        <w:t>主要</w:t>
      </w:r>
      <w:r>
        <w:rPr>
          <w:rFonts w:hint="eastAsia" w:ascii="微软雅黑" w:hAnsi="微软雅黑" w:eastAsia="微软雅黑" w:cs="微软雅黑"/>
          <w:bCs/>
          <w:sz w:val="21"/>
          <w:szCs w:val="21"/>
        </w:rPr>
        <w:t>在中国境内从事汽车租赁业务</w:t>
      </w:r>
      <w:r>
        <w:rPr>
          <w:rFonts w:hint="eastAsia" w:ascii="微软雅黑" w:hAnsi="微软雅黑" w:eastAsia="微软雅黑" w:cs="微软雅黑"/>
          <w:bCs/>
          <w:sz w:val="21"/>
          <w:szCs w:val="21"/>
          <w:lang w:eastAsia="zh-CN"/>
        </w:rPr>
        <w:t>，</w:t>
      </w:r>
      <w:r>
        <w:rPr>
          <w:rFonts w:hint="eastAsia" w:ascii="微软雅黑" w:hAnsi="微软雅黑" w:eastAsia="微软雅黑" w:cs="微软雅黑"/>
          <w:bCs/>
          <w:sz w:val="21"/>
          <w:szCs w:val="21"/>
        </w:rPr>
        <w:t>滴滴</w:t>
      </w:r>
      <w:r>
        <w:rPr>
          <w:rFonts w:hint="eastAsia" w:ascii="微软雅黑" w:hAnsi="微软雅黑" w:eastAsia="微软雅黑" w:cs="微软雅黑"/>
          <w:bCs/>
          <w:sz w:val="21"/>
          <w:szCs w:val="21"/>
          <w:lang w:eastAsia="zh-CN"/>
        </w:rPr>
        <w:t>主要</w:t>
      </w:r>
      <w:r>
        <w:rPr>
          <w:rFonts w:hint="eastAsia" w:ascii="微软雅黑" w:hAnsi="微软雅黑" w:eastAsia="微软雅黑" w:cs="微软雅黑"/>
          <w:bCs/>
          <w:sz w:val="21"/>
          <w:szCs w:val="21"/>
        </w:rPr>
        <w:t>在中国境内从事网络预约出租车服务。</w:t>
      </w:r>
      <w:r>
        <w:rPr>
          <w:rFonts w:hint="eastAsia" w:ascii="微软雅黑" w:hAnsi="微软雅黑" w:eastAsia="微软雅黑" w:cs="微软雅黑"/>
          <w:b w:val="0"/>
          <w:bCs/>
          <w:sz w:val="21"/>
          <w:szCs w:val="21"/>
          <w:highlight w:val="none"/>
        </w:rPr>
        <w:t>2017年全球营业额</w:t>
      </w:r>
      <w:r>
        <w:rPr>
          <w:rFonts w:hint="eastAsia" w:ascii="微软雅黑" w:hAnsi="微软雅黑" w:eastAsia="微软雅黑" w:cs="微软雅黑"/>
          <w:b w:val="0"/>
          <w:bCs/>
          <w:sz w:val="21"/>
          <w:szCs w:val="21"/>
          <w:highlight w:val="none"/>
          <w:lang w:eastAsia="zh-CN"/>
        </w:rPr>
        <w:t>为</w:t>
      </w:r>
      <w:r>
        <w:rPr>
          <w:rFonts w:hint="eastAsia" w:ascii="微软雅黑" w:hAnsi="微软雅黑" w:eastAsia="微软雅黑" w:cs="微软雅黑"/>
          <w:bCs/>
          <w:sz w:val="21"/>
          <w:szCs w:val="21"/>
        </w:rPr>
        <w:t>（略）</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val="0"/>
          <w:bCs/>
          <w:sz w:val="21"/>
          <w:szCs w:val="21"/>
          <w:highlight w:val="none"/>
        </w:rPr>
        <w:t>中国境内营业额为</w:t>
      </w:r>
      <w:r>
        <w:rPr>
          <w:rFonts w:hint="eastAsia" w:ascii="微软雅黑" w:hAnsi="微软雅黑" w:eastAsia="微软雅黑" w:cs="微软雅黑"/>
          <w:bCs/>
          <w:sz w:val="21"/>
          <w:szCs w:val="21"/>
        </w:rPr>
        <w:t>（略）</w:t>
      </w:r>
      <w:r>
        <w:rPr>
          <w:rFonts w:hint="eastAsia" w:ascii="微软雅黑" w:hAnsi="微软雅黑" w:eastAsia="微软雅黑" w:cs="微软雅黑"/>
          <w:b w:val="0"/>
          <w:bCs/>
          <w:sz w:val="21"/>
          <w:szCs w:val="21"/>
          <w:highlight w:val="none"/>
        </w:rPr>
        <w:t>。</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（二）交易概况。</w:t>
      </w:r>
    </w:p>
    <w:p>
      <w:pPr>
        <w:keepNext w:val="0"/>
        <w:keepLines w:val="0"/>
        <w:pageBreakBefore w:val="0"/>
        <w:widowControl w:val="0"/>
        <w:kinsoku/>
        <w:wordWrap/>
        <w:topLinePunct w:val="0"/>
        <w:bidi w:val="0"/>
        <w:snapToGrid w:val="0"/>
        <w:spacing w:line="594" w:lineRule="exact"/>
        <w:ind w:firstLine="400" w:firstLineChars="196"/>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2018年3月，华夏出行与惠迪天津签署出资协议，设立合营企业北京华滴有限责任公司。华夏出行与惠迪天津分别持股60%、40%，共同控制合营企业。2018年5月17日，合营企业取得营业执照</w:t>
      </w:r>
      <w:r>
        <w:rPr>
          <w:rFonts w:hint="eastAsia" w:ascii="微软雅黑" w:hAnsi="微软雅黑" w:eastAsia="微软雅黑" w:cs="微软雅黑"/>
          <w:sz w:val="21"/>
          <w:szCs w:val="21"/>
          <w:lang w:eastAsia="zh-CN"/>
        </w:rPr>
        <w:t>，开展市场运营</w:t>
      </w:r>
      <w:r>
        <w:rPr>
          <w:rFonts w:hint="eastAsia" w:ascii="微软雅黑" w:hAnsi="微软雅黑" w:eastAsia="微软雅黑" w:cs="微软雅黑"/>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kinsoku/>
        <w:wordWrap/>
        <w:topLinePunct w:val="0"/>
        <w:bidi w:val="0"/>
        <w:snapToGrid w:val="0"/>
        <w:spacing w:line="594" w:lineRule="exact"/>
        <w:ind w:firstLine="408" w:firstLineChars="200"/>
        <w:textAlignment w:val="auto"/>
        <w:outlineLvl w:val="0"/>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（一）本案构成</w:t>
      </w:r>
      <w:r>
        <w:rPr>
          <w:rFonts w:hint="eastAsia" w:ascii="微软雅黑" w:hAnsi="微软雅黑" w:eastAsia="微软雅黑" w:cs="微软雅黑"/>
          <w:b/>
          <w:bCs/>
          <w:sz w:val="21"/>
          <w:szCs w:val="21"/>
          <w:lang w:eastAsia="zh-CN"/>
        </w:rPr>
        <w:t>违法</w:t>
      </w:r>
      <w:r>
        <w:rPr>
          <w:rFonts w:hint="eastAsia" w:ascii="微软雅黑" w:hAnsi="微软雅黑" w:eastAsia="微软雅黑" w:cs="微软雅黑"/>
          <w:b/>
          <w:bCs/>
          <w:sz w:val="21"/>
          <w:szCs w:val="21"/>
        </w:rPr>
        <w:t>实施的经营者集中。</w:t>
      </w:r>
    </w:p>
    <w:p>
      <w:pPr>
        <w:keepNext w:val="0"/>
        <w:keepLines w:val="0"/>
        <w:pageBreakBefore w:val="0"/>
        <w:widowControl w:val="0"/>
        <w:kinsoku/>
        <w:wordWrap/>
        <w:topLinePunct w:val="0"/>
        <w:bidi w:val="0"/>
        <w:snapToGrid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rPr>
        <w:t>《反垄断法》第二十条</w:t>
      </w:r>
      <w:r>
        <w:rPr>
          <w:rFonts w:hint="eastAsia" w:ascii="微软雅黑" w:hAnsi="微软雅黑" w:eastAsia="微软雅黑" w:cs="微软雅黑"/>
          <w:sz w:val="21"/>
          <w:szCs w:val="21"/>
          <w:lang w:eastAsia="zh-CN"/>
        </w:rPr>
        <w:t>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eastAsia" w:ascii="微软雅黑" w:hAnsi="微软雅黑" w:eastAsia="微软雅黑" w:cs="微软雅黑"/>
          <w:bCs/>
          <w:sz w:val="21"/>
          <w:szCs w:val="21"/>
          <w:lang w:eastAsia="zh-CN"/>
        </w:rPr>
        <w:t>华夏出行与惠迪天津设立合营企业，分别持股</w:t>
      </w:r>
      <w:r>
        <w:rPr>
          <w:rFonts w:hint="eastAsia" w:ascii="微软雅黑" w:hAnsi="微软雅黑" w:eastAsia="微软雅黑" w:cs="微软雅黑"/>
          <w:bCs/>
          <w:sz w:val="21"/>
          <w:szCs w:val="21"/>
          <w:lang w:val="en-US" w:eastAsia="zh-CN"/>
        </w:rPr>
        <w:t>60%、40%，共同控制合营企业</w:t>
      </w:r>
      <w:r>
        <w:rPr>
          <w:rFonts w:hint="eastAsia" w:ascii="微软雅黑" w:hAnsi="微软雅黑" w:eastAsia="微软雅黑" w:cs="微软雅黑"/>
          <w:sz w:val="21"/>
          <w:szCs w:val="21"/>
        </w:rPr>
        <w:t>，属于《反垄断法》第二十条规定的经营者集中。</w:t>
      </w:r>
    </w:p>
    <w:p>
      <w:pPr>
        <w:pStyle w:val="10"/>
        <w:keepNext w:val="0"/>
        <w:keepLines w:val="0"/>
        <w:pageBreakBefore w:val="0"/>
        <w:widowControl w:val="0"/>
        <w:kinsoku/>
        <w:wordWrap/>
        <w:topLinePunct w:val="0"/>
        <w:bidi w:val="0"/>
        <w:adjustRightInd w:val="0"/>
        <w:snapToGrid w:val="0"/>
        <w:spacing w:line="594" w:lineRule="exact"/>
        <w:ind w:left="0"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b w:val="0"/>
          <w:bCs/>
          <w:sz w:val="21"/>
          <w:szCs w:val="21"/>
          <w:lang w:eastAsia="zh-CN"/>
        </w:rPr>
        <w:t>华夏出行2017年全球营业额为</w:t>
      </w:r>
      <w:r>
        <w:rPr>
          <w:rFonts w:hint="eastAsia" w:ascii="微软雅黑" w:hAnsi="微软雅黑" w:eastAsia="微软雅黑" w:cs="微软雅黑"/>
          <w:bCs/>
          <w:sz w:val="21"/>
          <w:szCs w:val="21"/>
        </w:rPr>
        <w:t>（略）</w:t>
      </w:r>
      <w:r>
        <w:rPr>
          <w:rFonts w:hint="eastAsia" w:ascii="微软雅黑" w:hAnsi="微软雅黑" w:eastAsia="微软雅黑" w:cs="微软雅黑"/>
          <w:b w:val="0"/>
          <w:bCs/>
          <w:sz w:val="21"/>
          <w:szCs w:val="21"/>
          <w:lang w:eastAsia="zh-CN"/>
        </w:rPr>
        <w:t>，中国境内营业额为</w:t>
      </w:r>
      <w:r>
        <w:rPr>
          <w:rFonts w:hint="eastAsia" w:ascii="微软雅黑" w:hAnsi="微软雅黑" w:eastAsia="微软雅黑" w:cs="微软雅黑"/>
          <w:bCs/>
          <w:sz w:val="21"/>
          <w:szCs w:val="21"/>
        </w:rPr>
        <w:t>（略）</w:t>
      </w:r>
      <w:r>
        <w:rPr>
          <w:rFonts w:hint="eastAsia" w:ascii="微软雅黑" w:hAnsi="微软雅黑" w:eastAsia="微软雅黑" w:cs="微软雅黑"/>
          <w:b w:val="0"/>
          <w:bCs/>
          <w:sz w:val="21"/>
          <w:szCs w:val="21"/>
          <w:lang w:eastAsia="zh-CN"/>
        </w:rPr>
        <w:t>；惠迪天津2017年全球营业额为</w:t>
      </w:r>
      <w:r>
        <w:rPr>
          <w:rFonts w:hint="eastAsia" w:ascii="微软雅黑" w:hAnsi="微软雅黑" w:eastAsia="微软雅黑" w:cs="微软雅黑"/>
          <w:bCs/>
          <w:sz w:val="21"/>
          <w:szCs w:val="21"/>
        </w:rPr>
        <w:t>（略）</w:t>
      </w:r>
      <w:r>
        <w:rPr>
          <w:rFonts w:hint="eastAsia" w:ascii="微软雅黑" w:hAnsi="微软雅黑" w:eastAsia="微软雅黑" w:cs="微软雅黑"/>
          <w:b w:val="0"/>
          <w:bCs/>
          <w:sz w:val="21"/>
          <w:szCs w:val="21"/>
          <w:lang w:eastAsia="zh-CN"/>
        </w:rPr>
        <w:t>，中国境内营业额为</w:t>
      </w:r>
      <w:r>
        <w:rPr>
          <w:rFonts w:hint="eastAsia" w:ascii="微软雅黑" w:hAnsi="微软雅黑" w:eastAsia="微软雅黑" w:cs="微软雅黑"/>
          <w:bCs/>
          <w:sz w:val="21"/>
          <w:szCs w:val="21"/>
        </w:rPr>
        <w:t>（略）</w:t>
      </w:r>
      <w:r>
        <w:rPr>
          <w:rFonts w:hint="eastAsia" w:ascii="微软雅黑" w:hAnsi="微软雅黑" w:eastAsia="微软雅黑" w:cs="微软雅黑"/>
          <w:sz w:val="21"/>
          <w:szCs w:val="21"/>
        </w:rPr>
        <w:t>，达到《国务院关于经营者集中申报标准的规定》第</w:t>
      </w:r>
      <w:r>
        <w:rPr>
          <w:rFonts w:hint="eastAsia" w:ascii="微软雅黑" w:hAnsi="微软雅黑" w:eastAsia="微软雅黑" w:cs="微软雅黑"/>
          <w:sz w:val="21"/>
          <w:szCs w:val="21"/>
          <w:lang w:eastAsia="zh-CN"/>
        </w:rPr>
        <w:t>三</w:t>
      </w:r>
      <w:r>
        <w:rPr>
          <w:rFonts w:hint="eastAsia" w:ascii="微软雅黑" w:hAnsi="微软雅黑" w:eastAsia="微软雅黑" w:cs="微软雅黑"/>
          <w:sz w:val="21"/>
          <w:szCs w:val="21"/>
        </w:rPr>
        <w:t>条规定的申报标准，属于应当申报的情形。</w:t>
      </w:r>
    </w:p>
    <w:p>
      <w:pPr>
        <w:keepNext w:val="0"/>
        <w:keepLines w:val="0"/>
        <w:pageBreakBefore w:val="0"/>
        <w:widowControl w:val="0"/>
        <w:kinsoku/>
        <w:wordWrap/>
        <w:topLinePunct w:val="0"/>
        <w:bidi w:val="0"/>
        <w:snapToGrid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rPr>
        <w:t>《反垄断法》第二十一条</w:t>
      </w:r>
      <w:r>
        <w:rPr>
          <w:rFonts w:hint="eastAsia" w:ascii="微软雅黑" w:hAnsi="微软雅黑" w:eastAsia="微软雅黑" w:cs="微软雅黑"/>
          <w:sz w:val="21"/>
          <w:szCs w:val="21"/>
          <w:lang w:eastAsia="zh-CN"/>
        </w:rPr>
        <w:t>规定“经营者集中达到国务院规定的申报标准的，经营者应当事先向国务院反垄断执法机构申报，未申报的不得实施集中”。</w:t>
      </w:r>
      <w:r>
        <w:rPr>
          <w:rFonts w:hint="eastAsia" w:ascii="微软雅黑" w:hAnsi="微软雅黑" w:eastAsia="微软雅黑" w:cs="微软雅黑"/>
          <w:sz w:val="21"/>
          <w:szCs w:val="21"/>
        </w:rPr>
        <w:t>2018年5月17日，合营企业取得营业执照，在此之前未向</w:t>
      </w:r>
      <w:r>
        <w:rPr>
          <w:rFonts w:hint="eastAsia" w:ascii="微软雅黑" w:hAnsi="微软雅黑" w:eastAsia="微软雅黑" w:cs="微软雅黑"/>
          <w:sz w:val="21"/>
          <w:szCs w:val="21"/>
          <w:lang w:eastAsia="zh-CN"/>
        </w:rPr>
        <w:t>本机关</w:t>
      </w:r>
      <w:r>
        <w:rPr>
          <w:rFonts w:hint="eastAsia" w:ascii="微软雅黑" w:hAnsi="微软雅黑" w:eastAsia="微软雅黑" w:cs="微软雅黑"/>
          <w:sz w:val="21"/>
          <w:szCs w:val="21"/>
        </w:rPr>
        <w:t>申报，</w:t>
      </w:r>
      <w:r>
        <w:rPr>
          <w:rFonts w:hint="eastAsia" w:ascii="微软雅黑" w:hAnsi="微软雅黑" w:eastAsia="微软雅黑" w:cs="微软雅黑"/>
          <w:kern w:val="2"/>
          <w:sz w:val="21"/>
          <w:szCs w:val="21"/>
        </w:rPr>
        <w:t>违反《反垄断法》第</w:t>
      </w:r>
      <w:r>
        <w:rPr>
          <w:rFonts w:hint="eastAsia" w:ascii="微软雅黑" w:hAnsi="微软雅黑" w:eastAsia="微软雅黑" w:cs="微软雅黑"/>
          <w:kern w:val="2"/>
          <w:sz w:val="21"/>
          <w:szCs w:val="21"/>
          <w:lang w:val="en-US" w:eastAsia="zh-CN"/>
        </w:rPr>
        <w:t>二十一</w:t>
      </w:r>
      <w:r>
        <w:rPr>
          <w:rFonts w:hint="eastAsia" w:ascii="微软雅黑" w:hAnsi="微软雅黑" w:eastAsia="微软雅黑" w:cs="微软雅黑"/>
          <w:kern w:val="2"/>
          <w:sz w:val="21"/>
          <w:szCs w:val="21"/>
        </w:rPr>
        <w:t>条，构成</w:t>
      </w:r>
      <w:r>
        <w:rPr>
          <w:rFonts w:hint="eastAsia" w:ascii="微软雅黑" w:hAnsi="微软雅黑" w:eastAsia="微软雅黑" w:cs="微软雅黑"/>
          <w:kern w:val="2"/>
          <w:sz w:val="21"/>
          <w:szCs w:val="21"/>
          <w:lang w:eastAsia="zh-CN"/>
        </w:rPr>
        <w:t>违法实施</w:t>
      </w:r>
      <w:r>
        <w:rPr>
          <w:rFonts w:hint="eastAsia" w:ascii="微软雅黑" w:hAnsi="微软雅黑" w:eastAsia="微软雅黑" w:cs="微软雅黑"/>
          <w:kern w:val="2"/>
          <w:sz w:val="21"/>
          <w:szCs w:val="21"/>
        </w:rPr>
        <w:t>的经营者集中。</w:t>
      </w:r>
    </w:p>
    <w:p>
      <w:pPr>
        <w:keepNext w:val="0"/>
        <w:keepLines w:val="0"/>
        <w:pageBreakBefore w:val="0"/>
        <w:widowControl w:val="0"/>
        <w:kinsoku/>
        <w:wordWrap/>
        <w:topLinePunct w:val="0"/>
        <w:bidi w:val="0"/>
        <w:snapToGrid w:val="0"/>
        <w:spacing w:line="594" w:lineRule="exact"/>
        <w:ind w:firstLine="408" w:firstLineChars="200"/>
        <w:textAlignment w:val="auto"/>
        <w:outlineLvl w:val="0"/>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（二）本案不具有排除、限制竞争的效果。</w:t>
      </w:r>
    </w:p>
    <w:p>
      <w:pPr>
        <w:keepNext w:val="0"/>
        <w:keepLines w:val="0"/>
        <w:pageBreakBefore w:val="0"/>
        <w:widowControl w:val="0"/>
        <w:kinsoku/>
        <w:wordWrap/>
        <w:topLinePunct w:val="0"/>
        <w:bidi w:val="0"/>
        <w:snapToGrid w:val="0"/>
        <w:spacing w:line="594" w:lineRule="exact"/>
        <w:ind w:firstLine="408" w:firstLineChars="200"/>
        <w:textAlignment w:val="auto"/>
        <w:outlineLvl w:val="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bCs/>
          <w:sz w:val="21"/>
          <w:szCs w:val="21"/>
          <w:lang w:val="en-US" w:eastAsia="zh-CN"/>
        </w:rPr>
        <w:t>华夏出行与惠迪天津设立合营企业</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napToGrid w:val="0"/>
        <w:spacing w:line="594" w:lineRule="exact"/>
        <w:ind w:firstLine="400" w:firstLineChars="196"/>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kinsoku/>
        <w:wordWrap/>
        <w:topLinePunct w:val="0"/>
        <w:bidi w:val="0"/>
        <w:snapToGrid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kern w:val="2"/>
          <w:sz w:val="21"/>
          <w:szCs w:val="21"/>
        </w:rPr>
        <w:t>基于上述调查情况和评估结论，本机关</w:t>
      </w:r>
      <w:r>
        <w:rPr>
          <w:rFonts w:hint="eastAsia" w:ascii="微软雅黑" w:hAnsi="微软雅黑" w:eastAsia="微软雅黑" w:cs="微软雅黑"/>
          <w:kern w:val="2"/>
          <w:sz w:val="21"/>
          <w:szCs w:val="21"/>
          <w:lang w:eastAsia="zh-CN"/>
        </w:rPr>
        <w:t>分别</w:t>
      </w:r>
      <w:r>
        <w:rPr>
          <w:rFonts w:hint="eastAsia" w:ascii="微软雅黑" w:hAnsi="微软雅黑" w:eastAsia="微软雅黑" w:cs="微软雅黑"/>
          <w:bCs/>
          <w:color w:val="000000"/>
          <w:kern w:val="2"/>
          <w:sz w:val="21"/>
          <w:szCs w:val="21"/>
        </w:rPr>
        <w:t>给予</w:t>
      </w:r>
      <w:r>
        <w:rPr>
          <w:rFonts w:hint="eastAsia" w:ascii="微软雅黑" w:hAnsi="微软雅黑" w:eastAsia="微软雅黑" w:cs="微软雅黑"/>
          <w:bCs/>
          <w:sz w:val="21"/>
          <w:szCs w:val="21"/>
          <w:lang w:val="en-US" w:eastAsia="zh-CN"/>
        </w:rPr>
        <w:t>华夏出行、</w:t>
      </w:r>
      <w:r>
        <w:rPr>
          <w:rFonts w:hint="eastAsia" w:ascii="微软雅黑" w:hAnsi="微软雅黑" w:eastAsia="微软雅黑" w:cs="微软雅黑"/>
          <w:bCs/>
          <w:sz w:val="21"/>
          <w:szCs w:val="21"/>
          <w:lang w:val="en-US" w:eastAsia="zh-CN"/>
        </w:rPr>
        <w:t>惠迪天津</w:t>
      </w:r>
      <w:r>
        <w:rPr>
          <w:rFonts w:hint="eastAsia" w:ascii="微软雅黑" w:hAnsi="微软雅黑" w:eastAsia="微软雅黑" w:cs="微软雅黑"/>
          <w:bCs/>
          <w:color w:val="000000"/>
          <w:kern w:val="2"/>
          <w:sz w:val="21"/>
          <w:szCs w:val="21"/>
          <w:lang w:val="en-US" w:eastAsia="zh-CN"/>
        </w:rPr>
        <w:t>50万元</w:t>
      </w:r>
      <w:r>
        <w:rPr>
          <w:rFonts w:hint="eastAsia" w:ascii="微软雅黑" w:hAnsi="微软雅黑" w:eastAsia="微软雅黑" w:cs="微软雅黑"/>
          <w:bCs/>
          <w:color w:val="000000"/>
          <w:kern w:val="2"/>
          <w:sz w:val="21"/>
          <w:szCs w:val="21"/>
        </w:rPr>
        <w:t>罚款的行政处罚。</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《行政处罚法》第四十六条规定</w:t>
      </w:r>
      <w:r>
        <w:rPr>
          <w:rFonts w:hint="eastAsia" w:ascii="微软雅黑" w:hAnsi="微软雅黑" w:eastAsia="微软雅黑" w:cs="微软雅黑"/>
          <w:kern w:val="2"/>
          <w:sz w:val="21"/>
          <w:szCs w:val="21"/>
          <w:lang w:eastAsia="zh-CN"/>
        </w:rPr>
        <w:t>“作出罚款决定的行政机关应当与收缴罚款的机构分离。除依照本法第四十七条、第四十八条的规定当场收缴的罚款外，作出行政处罚决定的行政机关及其执法人员不得自行收缴罚款。当事人应当自收到行政处罚决定书之日起十五日内，到指定的银行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当事方应当自</w:t>
      </w:r>
      <w:r>
        <w:rPr>
          <w:rFonts w:hint="eastAsia" w:ascii="微软雅黑" w:hAnsi="微软雅黑" w:eastAsia="微软雅黑" w:cs="微软雅黑"/>
          <w:kern w:val="2"/>
          <w:sz w:val="21"/>
          <w:szCs w:val="21"/>
          <w:highlight w:val="none"/>
        </w:rPr>
        <w:t>收到本行政处罚决定书之日起十五日内，根据本行政处罚决定书，携缴款码到12家中央财政非税收入收缴代理银行（工、农、中、建、交、中信、光大、招商、邮储、华夏、平安、兴业）任一银行网点或者网上银行交纳罚款。缴款码</w:t>
      </w:r>
      <w:r>
        <w:rPr>
          <w:rFonts w:hint="eastAsia" w:ascii="微软雅黑" w:hAnsi="微软雅黑" w:eastAsia="微软雅黑" w:cs="微软雅黑"/>
          <w:kern w:val="2"/>
          <w:sz w:val="21"/>
          <w:szCs w:val="21"/>
          <w:highlight w:val="none"/>
          <w:lang w:eastAsia="zh-CN"/>
        </w:rPr>
        <w:t>为</w:t>
      </w:r>
      <w:r>
        <w:rPr>
          <w:rFonts w:hint="eastAsia" w:ascii="微软雅黑" w:hAnsi="微软雅黑" w:eastAsia="微软雅黑" w:cs="微软雅黑"/>
          <w:kern w:val="2"/>
          <w:sz w:val="21"/>
          <w:szCs w:val="21"/>
          <w:highlight w:val="none"/>
        </w:rPr>
        <w:t>：</w:t>
      </w:r>
      <w:r>
        <w:rPr>
          <w:rFonts w:hint="eastAsia" w:ascii="微软雅黑" w:hAnsi="微软雅黑" w:eastAsia="微软雅黑" w:cs="微软雅黑"/>
          <w:kern w:val="2"/>
          <w:sz w:val="21"/>
          <w:szCs w:val="21"/>
          <w:highlight w:val="none"/>
          <w:lang w:eastAsia="zh-CN"/>
        </w:rPr>
        <w:t>华夏出行</w:t>
      </w:r>
      <w:r>
        <w:rPr>
          <w:rFonts w:hint="eastAsia" w:ascii="微软雅黑" w:hAnsi="微软雅黑" w:eastAsia="微软雅黑" w:cs="微软雅黑"/>
          <w:kern w:val="2"/>
          <w:sz w:val="21"/>
          <w:szCs w:val="21"/>
          <w:highlight w:val="none"/>
          <w:lang w:val="en-US" w:eastAsia="zh-CN"/>
        </w:rPr>
        <w:t>0000002101210664；惠迪天津0000002101210656</w:t>
      </w:r>
      <w:r>
        <w:rPr>
          <w:rFonts w:hint="eastAsia" w:ascii="微软雅黑" w:hAnsi="微软雅黑" w:eastAsia="微软雅黑" w:cs="微软雅黑"/>
          <w:kern w:val="2"/>
          <w:sz w:val="21"/>
          <w:szCs w:val="21"/>
          <w:highlight w:val="none"/>
        </w:rPr>
        <w:t>。</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 xml:space="preserve">当事方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kern w:val="2"/>
          <w:sz w:val="21"/>
          <w:szCs w:val="21"/>
        </w:rPr>
      </w:pP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napToGrid w:val="0"/>
        <w:spacing w:line="594" w:lineRule="exact"/>
        <w:ind w:firstLine="3395" w:firstLineChars="1664"/>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年</w:t>
      </w:r>
      <w:r>
        <w:rPr>
          <w:rFonts w:hint="eastAsia" w:ascii="微软雅黑" w:hAnsi="微软雅黑" w:eastAsia="微软雅黑" w:cs="微软雅黑"/>
          <w:kern w:val="2"/>
          <w:sz w:val="21"/>
          <w:szCs w:val="21"/>
          <w:lang w:val="en-US" w:eastAsia="zh-CN"/>
        </w:rPr>
        <w:t>7</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6</w:t>
      </w:r>
      <w:r>
        <w:rPr>
          <w:rFonts w:hint="eastAsia" w:ascii="微软雅黑" w:hAnsi="微软雅黑" w:eastAsia="微软雅黑" w:cs="微软雅黑"/>
          <w:kern w:val="2"/>
          <w:sz w:val="21"/>
          <w:szCs w:val="21"/>
        </w:rPr>
        <w:t>日</w:t>
      </w:r>
    </w:p>
    <w:p>
      <w:pPr>
        <w:keepNext w:val="0"/>
        <w:keepLines w:val="0"/>
        <w:pageBreakBefore w:val="0"/>
        <w:widowControl w:val="0"/>
        <w:kinsoku/>
        <w:wordWrap/>
        <w:topLinePunct w:val="0"/>
        <w:bidi w:val="0"/>
        <w:snapToGrid w:val="0"/>
        <w:spacing w:line="594" w:lineRule="exact"/>
        <w:ind w:firstLine="3395" w:firstLineChars="1664"/>
        <w:textAlignment w:val="auto"/>
        <w:rPr>
          <w:rFonts w:hint="eastAsia" w:ascii="微软雅黑" w:hAnsi="微软雅黑" w:eastAsia="微软雅黑" w:cs="微软雅黑"/>
          <w:kern w:val="2"/>
          <w:sz w:val="21"/>
          <w:szCs w:val="21"/>
        </w:rPr>
      </w:pP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（此件公开发布）</w:t>
      </w:r>
    </w:p>
    <w:bookmarkEnd w:id="0"/>
    <w:sectPr>
      <w:footerReference r:id="rId3" w:type="default"/>
      <w:footerReference r:id="rId4" w:type="even"/>
      <w:pgSz w:w="11906" w:h="16838"/>
      <w:pgMar w:top="20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2"/>
  <w:drawingGridVerticalSpacing w:val="28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581"/>
    <w:rsid w:val="000548A3"/>
    <w:rsid w:val="000827DF"/>
    <w:rsid w:val="00091794"/>
    <w:rsid w:val="00104DF8"/>
    <w:rsid w:val="0012430A"/>
    <w:rsid w:val="00133F5C"/>
    <w:rsid w:val="001377A0"/>
    <w:rsid w:val="00157F53"/>
    <w:rsid w:val="001659F5"/>
    <w:rsid w:val="001D38FA"/>
    <w:rsid w:val="001D41C2"/>
    <w:rsid w:val="00215C4B"/>
    <w:rsid w:val="002211B6"/>
    <w:rsid w:val="00224158"/>
    <w:rsid w:val="00234B72"/>
    <w:rsid w:val="00245423"/>
    <w:rsid w:val="00252E7C"/>
    <w:rsid w:val="00290548"/>
    <w:rsid w:val="00295562"/>
    <w:rsid w:val="002A1B6C"/>
    <w:rsid w:val="002A7578"/>
    <w:rsid w:val="002D4659"/>
    <w:rsid w:val="002D6CFB"/>
    <w:rsid w:val="002D7588"/>
    <w:rsid w:val="002F155E"/>
    <w:rsid w:val="0031556A"/>
    <w:rsid w:val="00373D66"/>
    <w:rsid w:val="003A1E45"/>
    <w:rsid w:val="003A4782"/>
    <w:rsid w:val="003D3BC1"/>
    <w:rsid w:val="003D6E20"/>
    <w:rsid w:val="003F7ACA"/>
    <w:rsid w:val="004715CB"/>
    <w:rsid w:val="004A3B22"/>
    <w:rsid w:val="004A6137"/>
    <w:rsid w:val="004B0121"/>
    <w:rsid w:val="004B1754"/>
    <w:rsid w:val="004B55D7"/>
    <w:rsid w:val="004B6FC4"/>
    <w:rsid w:val="004B7197"/>
    <w:rsid w:val="004C4C76"/>
    <w:rsid w:val="005036C6"/>
    <w:rsid w:val="00521A14"/>
    <w:rsid w:val="00550A0E"/>
    <w:rsid w:val="005701B7"/>
    <w:rsid w:val="0057731C"/>
    <w:rsid w:val="005834E9"/>
    <w:rsid w:val="00583867"/>
    <w:rsid w:val="00587D8A"/>
    <w:rsid w:val="005927DC"/>
    <w:rsid w:val="005B5018"/>
    <w:rsid w:val="005D07A8"/>
    <w:rsid w:val="005D48B1"/>
    <w:rsid w:val="00604C0E"/>
    <w:rsid w:val="00614049"/>
    <w:rsid w:val="00630C68"/>
    <w:rsid w:val="00655AF9"/>
    <w:rsid w:val="00656161"/>
    <w:rsid w:val="006578EE"/>
    <w:rsid w:val="00660A94"/>
    <w:rsid w:val="00661399"/>
    <w:rsid w:val="0066394B"/>
    <w:rsid w:val="006A3757"/>
    <w:rsid w:val="006A50C5"/>
    <w:rsid w:val="006A5BC7"/>
    <w:rsid w:val="006B5883"/>
    <w:rsid w:val="006C3A6D"/>
    <w:rsid w:val="006D4879"/>
    <w:rsid w:val="006E715E"/>
    <w:rsid w:val="00703F3B"/>
    <w:rsid w:val="00705AB4"/>
    <w:rsid w:val="00725EB8"/>
    <w:rsid w:val="0073264D"/>
    <w:rsid w:val="0076009F"/>
    <w:rsid w:val="007754D3"/>
    <w:rsid w:val="007B40DF"/>
    <w:rsid w:val="007C5FFE"/>
    <w:rsid w:val="007E404F"/>
    <w:rsid w:val="008039F4"/>
    <w:rsid w:val="008421E5"/>
    <w:rsid w:val="008546C0"/>
    <w:rsid w:val="0086703C"/>
    <w:rsid w:val="00880EEE"/>
    <w:rsid w:val="008A6262"/>
    <w:rsid w:val="008C4F45"/>
    <w:rsid w:val="008C74C9"/>
    <w:rsid w:val="008F7380"/>
    <w:rsid w:val="009054BC"/>
    <w:rsid w:val="00933B18"/>
    <w:rsid w:val="009766E6"/>
    <w:rsid w:val="009C1DFA"/>
    <w:rsid w:val="009C2E79"/>
    <w:rsid w:val="009C64B1"/>
    <w:rsid w:val="00A1167A"/>
    <w:rsid w:val="00A43255"/>
    <w:rsid w:val="00A43444"/>
    <w:rsid w:val="00A579FA"/>
    <w:rsid w:val="00A64434"/>
    <w:rsid w:val="00A863CB"/>
    <w:rsid w:val="00AA210A"/>
    <w:rsid w:val="00AF28DA"/>
    <w:rsid w:val="00AF75F0"/>
    <w:rsid w:val="00B219BA"/>
    <w:rsid w:val="00B26526"/>
    <w:rsid w:val="00B63EEB"/>
    <w:rsid w:val="00B73583"/>
    <w:rsid w:val="00B76FB1"/>
    <w:rsid w:val="00B94346"/>
    <w:rsid w:val="00B948A7"/>
    <w:rsid w:val="00B972B7"/>
    <w:rsid w:val="00BA16FE"/>
    <w:rsid w:val="00BD7CF0"/>
    <w:rsid w:val="00BE39C4"/>
    <w:rsid w:val="00BF319F"/>
    <w:rsid w:val="00C0343D"/>
    <w:rsid w:val="00C157EB"/>
    <w:rsid w:val="00C206BA"/>
    <w:rsid w:val="00C302A6"/>
    <w:rsid w:val="00C54183"/>
    <w:rsid w:val="00C77643"/>
    <w:rsid w:val="00C87B50"/>
    <w:rsid w:val="00CC3D1E"/>
    <w:rsid w:val="00D039F2"/>
    <w:rsid w:val="00D03E5A"/>
    <w:rsid w:val="00D10C55"/>
    <w:rsid w:val="00D12714"/>
    <w:rsid w:val="00D216FE"/>
    <w:rsid w:val="00D26834"/>
    <w:rsid w:val="00D30DD5"/>
    <w:rsid w:val="00D40512"/>
    <w:rsid w:val="00D43969"/>
    <w:rsid w:val="00D61F35"/>
    <w:rsid w:val="00D64391"/>
    <w:rsid w:val="00D71DFB"/>
    <w:rsid w:val="00D71ED4"/>
    <w:rsid w:val="00D746CB"/>
    <w:rsid w:val="00D85D06"/>
    <w:rsid w:val="00D873E3"/>
    <w:rsid w:val="00DB5CAF"/>
    <w:rsid w:val="00DD56EC"/>
    <w:rsid w:val="00DE3DCF"/>
    <w:rsid w:val="00E22F9F"/>
    <w:rsid w:val="00E4554C"/>
    <w:rsid w:val="00E508DB"/>
    <w:rsid w:val="00E541CD"/>
    <w:rsid w:val="00E557EF"/>
    <w:rsid w:val="00E55B87"/>
    <w:rsid w:val="00EA037C"/>
    <w:rsid w:val="00EC0E39"/>
    <w:rsid w:val="00EC70E9"/>
    <w:rsid w:val="00ED1821"/>
    <w:rsid w:val="00ED42C0"/>
    <w:rsid w:val="00F02F79"/>
    <w:rsid w:val="00F10C7C"/>
    <w:rsid w:val="00F20E60"/>
    <w:rsid w:val="00F72F95"/>
    <w:rsid w:val="00F90DCE"/>
    <w:rsid w:val="00FA4B88"/>
    <w:rsid w:val="00FC731D"/>
    <w:rsid w:val="00FD276D"/>
    <w:rsid w:val="00FE4FC2"/>
    <w:rsid w:val="00FE6553"/>
    <w:rsid w:val="02A175DD"/>
    <w:rsid w:val="03570C80"/>
    <w:rsid w:val="040D264D"/>
    <w:rsid w:val="04E75D87"/>
    <w:rsid w:val="06CD66FF"/>
    <w:rsid w:val="06F21DA1"/>
    <w:rsid w:val="0B307E77"/>
    <w:rsid w:val="0C726F1A"/>
    <w:rsid w:val="0D4D2427"/>
    <w:rsid w:val="104E0B39"/>
    <w:rsid w:val="132500A4"/>
    <w:rsid w:val="13752A27"/>
    <w:rsid w:val="13782677"/>
    <w:rsid w:val="177C27C1"/>
    <w:rsid w:val="192C6FB2"/>
    <w:rsid w:val="1B28094D"/>
    <w:rsid w:val="20F501D1"/>
    <w:rsid w:val="211B31BE"/>
    <w:rsid w:val="2DE60730"/>
    <w:rsid w:val="2E301C88"/>
    <w:rsid w:val="301A4762"/>
    <w:rsid w:val="32DC238B"/>
    <w:rsid w:val="34C44D02"/>
    <w:rsid w:val="3ABD31FA"/>
    <w:rsid w:val="3DC93C77"/>
    <w:rsid w:val="3E816520"/>
    <w:rsid w:val="3E974195"/>
    <w:rsid w:val="451B0817"/>
    <w:rsid w:val="4AB65652"/>
    <w:rsid w:val="4AF250F7"/>
    <w:rsid w:val="4D39790A"/>
    <w:rsid w:val="542559AB"/>
    <w:rsid w:val="542A0388"/>
    <w:rsid w:val="589F48E1"/>
    <w:rsid w:val="5BE73CF6"/>
    <w:rsid w:val="5F3D449D"/>
    <w:rsid w:val="63464DED"/>
    <w:rsid w:val="653809D0"/>
    <w:rsid w:val="66034A8F"/>
    <w:rsid w:val="6B146BDD"/>
    <w:rsid w:val="6EDD3519"/>
    <w:rsid w:val="706A2239"/>
    <w:rsid w:val="7406105E"/>
    <w:rsid w:val="74D14500"/>
    <w:rsid w:val="7A596994"/>
    <w:rsid w:val="7C291E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10">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www.ftpdown.com</Company>
  <Pages>4</Pages>
  <Words>250</Words>
  <Characters>1427</Characters>
  <Lines>11</Lines>
  <Paragraphs>3</Paragraphs>
  <TotalTime>3</TotalTime>
  <ScaleCrop>false</ScaleCrop>
  <LinksUpToDate>false</LinksUpToDate>
  <CharactersWithSpaces>1674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2020-04-01T01:55:00Z</dcterms:created>
  <dc:creator>FtpDown</dc:creator>
  <cp:lastModifiedBy>陈永仁</cp:lastModifiedBy>
  <cp:lastPrinted>2021-03-10T02:22:00Z</cp:lastPrinted>
  <dcterms:modified xsi:type="dcterms:W3CDTF">2021-07-10T14:51:09Z</dcterms:modified>
  <dc:title>国有工商行政管理总局行政处罚公告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BE29E3ADFF6C46F09B58D6652AF1E106</vt:lpwstr>
  </property>
</Properties>
</file>