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80" w:lineRule="exact"/>
        <w:jc w:val="center"/>
        <w:textAlignment w:val="auto"/>
        <w:rPr>
          <w:rFonts w:hint="eastAsia" w:ascii="微软雅黑" w:hAnsi="微软雅黑" w:eastAsia="微软雅黑" w:cs="微软雅黑"/>
          <w:bCs/>
          <w:color w:val="000000"/>
          <w:kern w:val="2"/>
          <w:sz w:val="21"/>
          <w:szCs w:val="21"/>
        </w:rPr>
      </w:pPr>
      <w:bookmarkStart w:id="0" w:name="_GoBack"/>
      <w:r>
        <w:rPr>
          <w:rFonts w:hint="eastAsia" w:ascii="微软雅黑" w:hAnsi="微软雅黑" w:eastAsia="微软雅黑" w:cs="微软雅黑"/>
          <w:bCs/>
          <w:color w:val="000000"/>
          <w:spacing w:val="202"/>
          <w:kern w:val="0"/>
          <w:sz w:val="21"/>
          <w:szCs w:val="21"/>
          <w:fitText w:val="5742" w:id="2126736977"/>
        </w:rPr>
        <w:t>国家市场监督管理总</w:t>
      </w:r>
      <w:r>
        <w:rPr>
          <w:rFonts w:hint="eastAsia" w:ascii="微软雅黑" w:hAnsi="微软雅黑" w:eastAsia="微软雅黑" w:cs="微软雅黑"/>
          <w:bCs/>
          <w:color w:val="000000"/>
          <w:spacing w:val="3"/>
          <w:kern w:val="0"/>
          <w:sz w:val="21"/>
          <w:szCs w:val="21"/>
          <w:fitText w:val="5742" w:id="2126736977"/>
        </w:rPr>
        <w:t>局</w:t>
      </w:r>
    </w:p>
    <w:p>
      <w:pPr>
        <w:keepNext w:val="0"/>
        <w:keepLines w:val="0"/>
        <w:pageBreakBefore w:val="0"/>
        <w:widowControl w:val="0"/>
        <w:kinsoku/>
        <w:wordWrap/>
        <w:topLinePunct w:val="0"/>
        <w:bidi w:val="0"/>
        <w:spacing w:line="580" w:lineRule="exact"/>
        <w:jc w:val="center"/>
        <w:textAlignment w:val="auto"/>
        <w:rPr>
          <w:rFonts w:hint="eastAsia" w:ascii="微软雅黑" w:hAnsi="微软雅黑" w:eastAsia="微软雅黑" w:cs="微软雅黑"/>
          <w:color w:val="000000"/>
          <w:kern w:val="2"/>
          <w:sz w:val="21"/>
          <w:szCs w:val="21"/>
        </w:rPr>
      </w:pPr>
      <w:r>
        <w:rPr>
          <w:rFonts w:hint="eastAsia" w:ascii="微软雅黑" w:hAnsi="微软雅黑" w:eastAsia="微软雅黑" w:cs="微软雅黑"/>
          <w:bCs/>
          <w:color w:val="000000"/>
          <w:spacing w:val="356"/>
          <w:kern w:val="0"/>
          <w:sz w:val="21"/>
          <w:szCs w:val="21"/>
          <w:fitText w:val="5742" w:id="1"/>
        </w:rPr>
        <w:t>行政处罚决定</w:t>
      </w:r>
      <w:r>
        <w:rPr>
          <w:rFonts w:hint="eastAsia" w:ascii="微软雅黑" w:hAnsi="微软雅黑" w:eastAsia="微软雅黑" w:cs="微软雅黑"/>
          <w:bCs/>
          <w:color w:val="000000"/>
          <w:spacing w:val="0"/>
          <w:kern w:val="0"/>
          <w:sz w:val="21"/>
          <w:szCs w:val="21"/>
          <w:fitText w:val="5742" w:id="1"/>
        </w:rPr>
        <w:t>书</w:t>
      </w:r>
    </w:p>
    <w:p>
      <w:pPr>
        <w:keepNext w:val="0"/>
        <w:keepLines w:val="0"/>
        <w:pageBreakBefore w:val="0"/>
        <w:widowControl w:val="0"/>
        <w:kinsoku/>
        <w:wordWrap/>
        <w:topLinePunct w:val="0"/>
        <w:bidi w:val="0"/>
        <w:spacing w:line="580" w:lineRule="exact"/>
        <w:jc w:val="center"/>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国市监处〔202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w:t>
      </w:r>
      <w:r>
        <w:rPr>
          <w:rFonts w:hint="eastAsia" w:ascii="微软雅黑" w:hAnsi="微软雅黑" w:eastAsia="微软雅黑" w:cs="微软雅黑"/>
          <w:kern w:val="2"/>
          <w:sz w:val="21"/>
          <w:szCs w:val="21"/>
          <w:lang w:val="en-US" w:eastAsia="zh-CN"/>
        </w:rPr>
        <w:t xml:space="preserve">46 </w:t>
      </w:r>
      <w:r>
        <w:rPr>
          <w:rFonts w:hint="eastAsia" w:ascii="微软雅黑" w:hAnsi="微软雅黑" w:eastAsia="微软雅黑" w:cs="微软雅黑"/>
          <w:kern w:val="2"/>
          <w:sz w:val="21"/>
          <w:szCs w:val="21"/>
        </w:rPr>
        <w:t>号</w:t>
      </w:r>
    </w:p>
    <w:p>
      <w:pPr>
        <w:keepNext w:val="0"/>
        <w:keepLines w:val="0"/>
        <w:pageBreakBefore w:val="0"/>
        <w:widowControl w:val="0"/>
        <w:kinsoku/>
        <w:wordWrap/>
        <w:topLinePunct w:val="0"/>
        <w:bidi w:val="0"/>
        <w:spacing w:line="580" w:lineRule="exact"/>
        <w:jc w:val="center"/>
        <w:textAlignment w:val="auto"/>
        <w:rPr>
          <w:rFonts w:hint="eastAsia" w:ascii="微软雅黑" w:hAnsi="微软雅黑" w:eastAsia="微软雅黑" w:cs="微软雅黑"/>
          <w:kern w:val="2"/>
          <w:sz w:val="21"/>
          <w:szCs w:val="21"/>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sz w:val="21"/>
          <w:szCs w:val="21"/>
          <w:highlight w:val="none"/>
          <w:lang w:eastAsia="zh-CN"/>
        </w:rPr>
      </w:pPr>
      <w:r>
        <w:rPr>
          <w:rFonts w:hint="eastAsia" w:ascii="微软雅黑" w:hAnsi="微软雅黑" w:eastAsia="微软雅黑" w:cs="微软雅黑"/>
          <w:sz w:val="21"/>
          <w:szCs w:val="21"/>
          <w:highlight w:val="none"/>
          <w:lang w:eastAsia="zh-CN"/>
        </w:rPr>
        <w:t>当事人：</w:t>
      </w:r>
      <w:r>
        <w:rPr>
          <w:rFonts w:hint="eastAsia" w:ascii="微软雅黑" w:hAnsi="微软雅黑" w:eastAsia="微软雅黑" w:cs="微软雅黑"/>
          <w:sz w:val="21"/>
          <w:szCs w:val="21"/>
          <w:highlight w:val="none"/>
          <w:lang w:eastAsia="zh-CN"/>
        </w:rPr>
        <w:t>北京小桔智能汽车科技有限公司</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eastAsia="zh-CN"/>
        </w:rPr>
        <w:t>住  所：</w:t>
      </w:r>
      <w:r>
        <w:rPr>
          <w:rFonts w:hint="eastAsia" w:ascii="微软雅黑" w:hAnsi="微软雅黑" w:eastAsia="微软雅黑" w:cs="微软雅黑"/>
          <w:sz w:val="21"/>
          <w:szCs w:val="21"/>
          <w:highlight w:val="none"/>
          <w:lang w:val="en-US" w:eastAsia="zh-CN"/>
        </w:rPr>
        <w:t xml:space="preserve">北京市顺义区中关村科技园区顺义园临空二路1号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sz w:val="21"/>
          <w:szCs w:val="21"/>
          <w:highlight w:val="none"/>
          <w:lang w:eastAsia="zh-CN"/>
        </w:rPr>
      </w:pPr>
      <w:r>
        <w:rPr>
          <w:rFonts w:hint="eastAsia" w:ascii="微软雅黑" w:hAnsi="微软雅黑" w:eastAsia="微软雅黑" w:cs="微软雅黑"/>
          <w:sz w:val="21"/>
          <w:szCs w:val="21"/>
          <w:highlight w:val="none"/>
          <w:lang w:eastAsia="zh-CN"/>
        </w:rPr>
        <w:t>当事人</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lang w:eastAsia="zh-CN"/>
        </w:rPr>
        <w:t>北京新能源汽车股份有限公司</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eastAsia="zh-CN"/>
        </w:rPr>
        <w:t>住  所：</w:t>
      </w:r>
      <w:r>
        <w:rPr>
          <w:rFonts w:hint="eastAsia" w:ascii="微软雅黑" w:hAnsi="微软雅黑" w:eastAsia="微软雅黑" w:cs="微软雅黑"/>
          <w:sz w:val="21"/>
          <w:szCs w:val="21"/>
          <w:highlight w:val="none"/>
          <w:lang w:val="en-US" w:eastAsia="zh-CN"/>
        </w:rPr>
        <w:t>北京市北京经济技术开发区东环中路5号12幢1层</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lang w:eastAsia="zh-CN"/>
        </w:rPr>
        <w:t>根据《中华人民共和国反垄断法》（以下简称《反垄断法》）《经营者集中审查暂行规定》，本机关于</w:t>
      </w:r>
      <w:r>
        <w:rPr>
          <w:rFonts w:hint="eastAsia" w:ascii="微软雅黑" w:hAnsi="微软雅黑" w:eastAsia="微软雅黑" w:cs="微软雅黑"/>
          <w:sz w:val="21"/>
          <w:szCs w:val="21"/>
          <w:lang w:val="en-US" w:eastAsia="zh-CN"/>
        </w:rPr>
        <w:t>2021年</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val="en-US" w:eastAsia="zh-CN"/>
        </w:rPr>
        <w:t>月</w:t>
      </w:r>
      <w:r>
        <w:rPr>
          <w:rFonts w:hint="eastAsia" w:ascii="微软雅黑" w:hAnsi="微软雅黑" w:eastAsia="微软雅黑" w:cs="微软雅黑"/>
          <w:sz w:val="21"/>
          <w:szCs w:val="21"/>
          <w:lang w:val="en-US" w:eastAsia="zh-CN"/>
        </w:rPr>
        <w:t>19</w:t>
      </w:r>
      <w:r>
        <w:rPr>
          <w:rFonts w:hint="eastAsia" w:ascii="微软雅黑" w:hAnsi="微软雅黑" w:eastAsia="微软雅黑" w:cs="微软雅黑"/>
          <w:sz w:val="21"/>
          <w:szCs w:val="21"/>
          <w:lang w:val="en-US" w:eastAsia="zh-CN"/>
        </w:rPr>
        <w:t>日</w:t>
      </w:r>
      <w:r>
        <w:rPr>
          <w:rFonts w:hint="eastAsia" w:ascii="微软雅黑" w:hAnsi="微软雅黑" w:eastAsia="微软雅黑" w:cs="微软雅黑"/>
          <w:sz w:val="21"/>
          <w:szCs w:val="21"/>
          <w:lang w:eastAsia="zh-CN"/>
        </w:rPr>
        <w:t>对</w:t>
      </w:r>
      <w:r>
        <w:rPr>
          <w:rFonts w:hint="eastAsia" w:ascii="微软雅黑" w:hAnsi="微软雅黑" w:eastAsia="微软雅黑" w:cs="微软雅黑"/>
          <w:sz w:val="21"/>
          <w:szCs w:val="21"/>
          <w:lang w:eastAsia="zh-CN"/>
        </w:rPr>
        <w:t>北京小桔智能汽车科技有限公司（以下简称</w:t>
      </w:r>
      <w:r>
        <w:rPr>
          <w:rFonts w:hint="eastAsia" w:ascii="微软雅黑" w:hAnsi="微软雅黑" w:eastAsia="微软雅黑" w:cs="微软雅黑"/>
          <w:sz w:val="21"/>
          <w:szCs w:val="21"/>
          <w:lang w:val="en-US" w:eastAsia="zh-CN"/>
        </w:rPr>
        <w:t>小桔智能</w:t>
      </w:r>
      <w:r>
        <w:rPr>
          <w:rFonts w:hint="eastAsia" w:ascii="微软雅黑" w:hAnsi="微软雅黑" w:eastAsia="微软雅黑" w:cs="微软雅黑"/>
          <w:sz w:val="21"/>
          <w:szCs w:val="21"/>
          <w:lang w:eastAsia="zh-CN"/>
        </w:rPr>
        <w:t>）与北京新能源汽车股份有限公司（以下简称北汽新能源）设立合营企业</w:t>
      </w:r>
      <w:r>
        <w:rPr>
          <w:rFonts w:hint="eastAsia" w:ascii="微软雅黑" w:hAnsi="微软雅黑" w:eastAsia="微软雅黑" w:cs="微软雅黑"/>
          <w:sz w:val="21"/>
          <w:szCs w:val="21"/>
          <w:lang w:eastAsia="zh-CN"/>
        </w:rPr>
        <w:t>涉</w:t>
      </w:r>
      <w:r>
        <w:rPr>
          <w:rFonts w:hint="eastAsia" w:ascii="微软雅黑" w:hAnsi="微软雅黑" w:eastAsia="微软雅黑" w:cs="微软雅黑"/>
          <w:sz w:val="21"/>
          <w:szCs w:val="21"/>
        </w:rPr>
        <w:t>嫌</w:t>
      </w:r>
      <w:r>
        <w:rPr>
          <w:rFonts w:hint="eastAsia" w:ascii="微软雅黑" w:hAnsi="微软雅黑" w:eastAsia="微软雅黑" w:cs="微软雅黑"/>
          <w:sz w:val="21"/>
          <w:szCs w:val="21"/>
          <w:lang w:eastAsia="zh-CN"/>
        </w:rPr>
        <w:t>违法实施经营者集中</w:t>
      </w:r>
      <w:r>
        <w:rPr>
          <w:rFonts w:hint="eastAsia" w:ascii="微软雅黑" w:hAnsi="微软雅黑" w:eastAsia="微软雅黑" w:cs="微软雅黑"/>
          <w:sz w:val="21"/>
          <w:szCs w:val="21"/>
        </w:rPr>
        <w:t>案</w:t>
      </w:r>
      <w:r>
        <w:rPr>
          <w:rFonts w:hint="eastAsia" w:ascii="微软雅黑" w:hAnsi="微软雅黑" w:eastAsia="微软雅黑" w:cs="微软雅黑"/>
          <w:kern w:val="2"/>
          <w:sz w:val="21"/>
          <w:szCs w:val="21"/>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经查，该案构成违法实施的经营者集中，但不具有排除、限制竞争的效果。本机关按照《</w:t>
      </w:r>
      <w:r>
        <w:rPr>
          <w:rFonts w:hint="eastAsia" w:ascii="微软雅黑" w:hAnsi="微软雅黑" w:eastAsia="微软雅黑" w:cs="微软雅黑"/>
          <w:kern w:val="2"/>
          <w:sz w:val="21"/>
          <w:szCs w:val="21"/>
          <w:lang w:eastAsia="zh-CN"/>
        </w:rPr>
        <w:t>中华人民共和国</w:t>
      </w:r>
      <w:r>
        <w:rPr>
          <w:rFonts w:hint="eastAsia" w:ascii="微软雅黑" w:hAnsi="微软雅黑" w:eastAsia="微软雅黑" w:cs="微软雅黑"/>
          <w:kern w:val="2"/>
          <w:sz w:val="21"/>
          <w:szCs w:val="21"/>
        </w:rPr>
        <w:t>行政处罚法》</w:t>
      </w:r>
      <w:r>
        <w:rPr>
          <w:rFonts w:hint="eastAsia" w:ascii="微软雅黑" w:hAnsi="微软雅黑" w:eastAsia="微软雅黑" w:cs="微软雅黑"/>
          <w:sz w:val="21"/>
          <w:szCs w:val="21"/>
          <w:lang w:eastAsia="zh-CN"/>
        </w:rPr>
        <w:t>（以下简称</w:t>
      </w:r>
      <w:r>
        <w:rPr>
          <w:rFonts w:hint="eastAsia" w:ascii="微软雅黑" w:hAnsi="微软雅黑" w:eastAsia="微软雅黑" w:cs="微软雅黑"/>
          <w:kern w:val="2"/>
          <w:sz w:val="21"/>
          <w:szCs w:val="21"/>
        </w:rPr>
        <w:t>《行政处罚法》</w:t>
      </w:r>
      <w:r>
        <w:rPr>
          <w:rFonts w:hint="eastAsia" w:ascii="微软雅黑" w:hAnsi="微软雅黑" w:eastAsia="微软雅黑" w:cs="微软雅黑"/>
          <w:sz w:val="21"/>
          <w:szCs w:val="21"/>
          <w:lang w:eastAsia="zh-CN"/>
        </w:rPr>
        <w:t>）</w:t>
      </w:r>
      <w:r>
        <w:rPr>
          <w:rFonts w:hint="eastAsia" w:ascii="微软雅黑" w:hAnsi="微软雅黑" w:eastAsia="微软雅黑" w:cs="微软雅黑"/>
          <w:kern w:val="2"/>
          <w:sz w:val="21"/>
          <w:szCs w:val="21"/>
        </w:rPr>
        <w:t>的规定，向</w:t>
      </w:r>
      <w:r>
        <w:rPr>
          <w:rFonts w:hint="eastAsia" w:ascii="微软雅黑" w:hAnsi="微软雅黑" w:eastAsia="微软雅黑" w:cs="微软雅黑"/>
          <w:sz w:val="21"/>
          <w:szCs w:val="21"/>
          <w:lang w:val="en-US" w:eastAsia="zh-CN"/>
        </w:rPr>
        <w:t>小桔智能和北汽新能源</w:t>
      </w:r>
      <w:r>
        <w:rPr>
          <w:rFonts w:hint="eastAsia" w:ascii="微软雅黑" w:hAnsi="微软雅黑" w:eastAsia="微软雅黑" w:cs="微软雅黑"/>
          <w:kern w:val="2"/>
          <w:sz w:val="21"/>
          <w:szCs w:val="21"/>
        </w:rPr>
        <w:t>送达了《行政处罚告知书》，告知其拟作出行政处罚决定的事实、理由、证据、处罚内容，以及其依法享有的陈述权、申辩权和要求听证权。</w:t>
      </w:r>
      <w:r>
        <w:rPr>
          <w:rFonts w:hint="eastAsia" w:ascii="微软雅黑" w:hAnsi="微软雅黑" w:eastAsia="微软雅黑" w:cs="微软雅黑"/>
          <w:sz w:val="21"/>
          <w:szCs w:val="21"/>
          <w:lang w:val="en-US" w:eastAsia="zh-CN"/>
        </w:rPr>
        <w:t>小桔智能和北汽新能源</w:t>
      </w:r>
      <w:r>
        <w:rPr>
          <w:rFonts w:hint="eastAsia" w:ascii="微软雅黑" w:hAnsi="微软雅黑" w:eastAsia="微软雅黑" w:cs="微软雅黑"/>
          <w:kern w:val="2"/>
          <w:sz w:val="21"/>
          <w:szCs w:val="21"/>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（一）交易方。</w:t>
      </w:r>
    </w:p>
    <w:p>
      <w:pPr>
        <w:pStyle w:val="7"/>
        <w:pageBreakBefore w:val="0"/>
        <w:kinsoku/>
        <w:topLinePunct w:val="0"/>
        <w:bidi w:val="0"/>
        <w:spacing w:line="240" w:lineRule="auto"/>
        <w:ind w:firstLine="640"/>
        <w:textAlignment w:val="auto"/>
        <w:rPr>
          <w:rFonts w:hint="eastAsia" w:ascii="微软雅黑" w:hAnsi="微软雅黑" w:eastAsia="微软雅黑" w:cs="微软雅黑"/>
          <w:bCs/>
          <w:sz w:val="21"/>
          <w:szCs w:val="21"/>
        </w:rPr>
      </w:pPr>
      <w:r>
        <w:rPr>
          <w:rFonts w:hint="eastAsia" w:ascii="微软雅黑" w:hAnsi="微软雅黑" w:eastAsia="微软雅黑" w:cs="微软雅黑"/>
          <w:b w:val="0"/>
          <w:bCs/>
          <w:sz w:val="21"/>
          <w:szCs w:val="21"/>
        </w:rPr>
        <w:t>合营方一：</w:t>
      </w:r>
      <w:r>
        <w:rPr>
          <w:rFonts w:hint="eastAsia" w:ascii="微软雅黑" w:hAnsi="微软雅黑" w:eastAsia="微软雅黑" w:cs="微软雅黑"/>
          <w:b w:val="0"/>
          <w:bCs/>
          <w:sz w:val="21"/>
          <w:szCs w:val="21"/>
          <w:lang w:val="en-US" w:eastAsia="zh-CN"/>
        </w:rPr>
        <w:t>小桔智能</w:t>
      </w:r>
      <w:r>
        <w:rPr>
          <w:rFonts w:hint="eastAsia" w:ascii="微软雅黑" w:hAnsi="微软雅黑" w:eastAsia="微软雅黑" w:cs="微软雅黑"/>
          <w:b w:val="0"/>
          <w:bCs/>
          <w:sz w:val="21"/>
          <w:szCs w:val="21"/>
        </w:rPr>
        <w:t>。</w:t>
      </w:r>
      <w:r>
        <w:rPr>
          <w:rFonts w:hint="eastAsia" w:ascii="微软雅黑" w:hAnsi="微软雅黑" w:eastAsia="微软雅黑" w:cs="微软雅黑"/>
          <w:bCs/>
          <w:sz w:val="21"/>
          <w:szCs w:val="21"/>
        </w:rPr>
        <w:t>2018年于北京注册成立，</w:t>
      </w:r>
      <w:r>
        <w:rPr>
          <w:rFonts w:hint="eastAsia" w:ascii="微软雅黑" w:hAnsi="微软雅黑" w:eastAsia="微软雅黑" w:cs="微软雅黑"/>
          <w:bCs/>
          <w:sz w:val="21"/>
          <w:szCs w:val="21"/>
        </w:rPr>
        <w:t>是小桔快智公司（</w:t>
      </w:r>
      <w:r>
        <w:rPr>
          <w:rFonts w:hint="eastAsia" w:ascii="微软雅黑" w:hAnsi="微软雅黑" w:eastAsia="微软雅黑" w:cs="微软雅黑"/>
          <w:bCs/>
          <w:sz w:val="21"/>
          <w:szCs w:val="21"/>
        </w:rPr>
        <w:t>Xiaoju Kuaizhi Inc.</w:t>
      </w:r>
      <w:r>
        <w:rPr>
          <w:rFonts w:hint="eastAsia" w:ascii="微软雅黑" w:hAnsi="微软雅黑" w:eastAsia="微软雅黑" w:cs="微软雅黑"/>
          <w:bCs/>
          <w:sz w:val="21"/>
          <w:szCs w:val="21"/>
        </w:rPr>
        <w:t>，以下简称滴滴）全资子公司，</w:t>
      </w:r>
      <w:r>
        <w:rPr>
          <w:rFonts w:hint="eastAsia" w:ascii="微软雅黑" w:hAnsi="微软雅黑" w:eastAsia="微软雅黑" w:cs="微软雅黑"/>
          <w:bCs/>
          <w:sz w:val="21"/>
          <w:szCs w:val="21"/>
        </w:rPr>
        <w:t>最终控制人</w:t>
      </w:r>
      <w:r>
        <w:rPr>
          <w:rFonts w:hint="eastAsia" w:ascii="微软雅黑" w:hAnsi="微软雅黑" w:eastAsia="微软雅黑" w:cs="微软雅黑"/>
          <w:bCs/>
          <w:sz w:val="21"/>
          <w:szCs w:val="21"/>
          <w:lang w:val="en-US" w:eastAsia="zh-CN"/>
        </w:rPr>
        <w:t>（略）</w:t>
      </w:r>
      <w:r>
        <w:rPr>
          <w:rFonts w:hint="eastAsia" w:ascii="微软雅黑" w:hAnsi="微软雅黑" w:eastAsia="微软雅黑" w:cs="微软雅黑"/>
          <w:bCs/>
          <w:sz w:val="21"/>
          <w:szCs w:val="21"/>
        </w:rPr>
        <w:t>。</w:t>
      </w:r>
      <w:r>
        <w:rPr>
          <w:rFonts w:hint="eastAsia" w:ascii="微软雅黑" w:hAnsi="微软雅黑" w:eastAsia="微软雅黑" w:cs="微软雅黑"/>
          <w:b w:val="0"/>
          <w:bCs w:val="0"/>
          <w:sz w:val="21"/>
          <w:szCs w:val="21"/>
          <w:lang w:val="en-US" w:eastAsia="zh-CN"/>
        </w:rPr>
        <w:t>小桔智能</w:t>
      </w:r>
      <w:r>
        <w:rPr>
          <w:rFonts w:hint="eastAsia" w:ascii="微软雅黑" w:hAnsi="微软雅黑" w:eastAsia="微软雅黑" w:cs="微软雅黑"/>
          <w:bCs/>
          <w:sz w:val="21"/>
          <w:szCs w:val="21"/>
        </w:rPr>
        <w:t>主要从事软件开发</w:t>
      </w:r>
      <w:r>
        <w:rPr>
          <w:rFonts w:hint="eastAsia" w:ascii="微软雅黑" w:hAnsi="微软雅黑" w:eastAsia="微软雅黑" w:cs="微软雅黑"/>
          <w:bCs/>
          <w:sz w:val="21"/>
          <w:szCs w:val="21"/>
          <w:lang w:val="en-US" w:eastAsia="zh-CN"/>
        </w:rPr>
        <w:t>和</w:t>
      </w:r>
      <w:r>
        <w:rPr>
          <w:rFonts w:hint="eastAsia" w:ascii="微软雅黑" w:hAnsi="微软雅黑" w:eastAsia="微软雅黑" w:cs="微软雅黑"/>
          <w:bCs/>
          <w:sz w:val="21"/>
          <w:szCs w:val="21"/>
        </w:rPr>
        <w:t>智能共享出行相关</w:t>
      </w:r>
      <w:r>
        <w:rPr>
          <w:rFonts w:hint="eastAsia" w:ascii="微软雅黑" w:hAnsi="微软雅黑" w:eastAsia="微软雅黑" w:cs="微软雅黑"/>
          <w:bCs/>
          <w:sz w:val="21"/>
          <w:szCs w:val="21"/>
          <w:lang w:val="en-US" w:eastAsia="zh-CN"/>
        </w:rPr>
        <w:t>的</w:t>
      </w:r>
      <w:r>
        <w:rPr>
          <w:rFonts w:hint="eastAsia" w:ascii="微软雅黑" w:hAnsi="微软雅黑" w:eastAsia="微软雅黑" w:cs="微软雅黑"/>
          <w:bCs/>
          <w:sz w:val="21"/>
          <w:szCs w:val="21"/>
        </w:rPr>
        <w:t>设计及咨询服务</w:t>
      </w:r>
      <w:r>
        <w:rPr>
          <w:rFonts w:hint="eastAsia" w:ascii="微软雅黑" w:hAnsi="微软雅黑" w:eastAsia="微软雅黑" w:cs="微软雅黑"/>
          <w:bCs/>
          <w:sz w:val="21"/>
          <w:szCs w:val="21"/>
          <w:lang w:eastAsia="zh-CN"/>
        </w:rPr>
        <w:t>，</w:t>
      </w:r>
      <w:r>
        <w:rPr>
          <w:rFonts w:hint="eastAsia" w:ascii="微软雅黑" w:hAnsi="微软雅黑" w:eastAsia="微软雅黑" w:cs="微软雅黑"/>
          <w:bCs/>
          <w:sz w:val="21"/>
          <w:szCs w:val="21"/>
        </w:rPr>
        <w:t>滴滴</w:t>
      </w:r>
      <w:r>
        <w:rPr>
          <w:rFonts w:hint="eastAsia" w:ascii="微软雅黑" w:hAnsi="微软雅黑" w:eastAsia="微软雅黑" w:cs="微软雅黑"/>
          <w:bCs/>
          <w:sz w:val="21"/>
          <w:szCs w:val="21"/>
          <w:lang w:eastAsia="zh-CN"/>
        </w:rPr>
        <w:t>主要</w:t>
      </w:r>
      <w:r>
        <w:rPr>
          <w:rFonts w:hint="eastAsia" w:ascii="微软雅黑" w:hAnsi="微软雅黑" w:eastAsia="微软雅黑" w:cs="微软雅黑"/>
          <w:bCs/>
          <w:sz w:val="21"/>
          <w:szCs w:val="21"/>
        </w:rPr>
        <w:t>在中国境内从事网络预约出租车服务。滴滴</w:t>
      </w:r>
      <w:r>
        <w:rPr>
          <w:rFonts w:hint="eastAsia" w:ascii="微软雅黑" w:hAnsi="微软雅黑" w:eastAsia="微软雅黑" w:cs="微软雅黑"/>
          <w:bCs/>
          <w:sz w:val="21"/>
          <w:szCs w:val="21"/>
        </w:rPr>
        <w:t>2017年全球</w:t>
      </w:r>
      <w:r>
        <w:rPr>
          <w:rFonts w:hint="eastAsia" w:ascii="微软雅黑" w:hAnsi="微软雅黑" w:eastAsia="微软雅黑" w:cs="微软雅黑"/>
          <w:bCs/>
          <w:sz w:val="21"/>
          <w:szCs w:val="21"/>
          <w:lang w:val="en-US" w:eastAsia="zh-CN"/>
        </w:rPr>
        <w:t>和中国境内营业额（略）</w:t>
      </w:r>
      <w:r>
        <w:rPr>
          <w:rFonts w:hint="eastAsia" w:ascii="微软雅黑" w:hAnsi="微软雅黑" w:eastAsia="微软雅黑" w:cs="微软雅黑"/>
          <w:bCs/>
          <w:sz w:val="21"/>
          <w:szCs w:val="21"/>
        </w:rPr>
        <w:t>。</w:t>
      </w:r>
    </w:p>
    <w:p>
      <w:pPr>
        <w:pStyle w:val="7"/>
        <w:pageBreakBefore w:val="0"/>
        <w:kinsoku/>
        <w:topLinePunct w:val="0"/>
        <w:bidi w:val="0"/>
        <w:ind w:firstLine="640"/>
        <w:textAlignment w:val="auto"/>
        <w:rPr>
          <w:rFonts w:hint="eastAsia" w:ascii="微软雅黑" w:hAnsi="微软雅黑" w:eastAsia="微软雅黑" w:cs="微软雅黑"/>
          <w:bCs/>
          <w:sz w:val="21"/>
          <w:szCs w:val="21"/>
        </w:rPr>
      </w:pPr>
      <w:r>
        <w:rPr>
          <w:rFonts w:hint="eastAsia" w:ascii="微软雅黑" w:hAnsi="微软雅黑" w:eastAsia="微软雅黑" w:cs="微软雅黑"/>
          <w:b w:val="0"/>
          <w:bCs/>
          <w:sz w:val="21"/>
          <w:szCs w:val="21"/>
        </w:rPr>
        <w:t>合营方</w:t>
      </w:r>
      <w:r>
        <w:rPr>
          <w:rFonts w:hint="eastAsia" w:ascii="微软雅黑" w:hAnsi="微软雅黑" w:eastAsia="微软雅黑" w:cs="微软雅黑"/>
          <w:b w:val="0"/>
          <w:bCs/>
          <w:sz w:val="21"/>
          <w:szCs w:val="21"/>
          <w:lang w:eastAsia="zh-CN"/>
        </w:rPr>
        <w:t>二</w:t>
      </w:r>
      <w:r>
        <w:rPr>
          <w:rFonts w:hint="eastAsia" w:ascii="微软雅黑" w:hAnsi="微软雅黑" w:eastAsia="微软雅黑" w:cs="微软雅黑"/>
          <w:b w:val="0"/>
          <w:bCs/>
          <w:sz w:val="21"/>
          <w:szCs w:val="21"/>
        </w:rPr>
        <w:t>：</w:t>
      </w:r>
      <w:r>
        <w:rPr>
          <w:rFonts w:hint="eastAsia" w:ascii="微软雅黑" w:hAnsi="微软雅黑" w:eastAsia="微软雅黑" w:cs="微软雅黑"/>
          <w:b w:val="0"/>
          <w:bCs/>
          <w:sz w:val="21"/>
          <w:szCs w:val="21"/>
          <w:lang w:eastAsia="zh-CN"/>
        </w:rPr>
        <w:t>北汽新能源</w:t>
      </w:r>
      <w:r>
        <w:rPr>
          <w:rFonts w:hint="eastAsia" w:ascii="微软雅黑" w:hAnsi="微软雅黑" w:eastAsia="微软雅黑" w:cs="微软雅黑"/>
          <w:b w:val="0"/>
          <w:bCs/>
          <w:sz w:val="21"/>
          <w:szCs w:val="21"/>
        </w:rPr>
        <w:t>。</w:t>
      </w:r>
      <w:r>
        <w:rPr>
          <w:rFonts w:hint="eastAsia" w:ascii="微软雅黑" w:hAnsi="微软雅黑" w:eastAsia="微软雅黑" w:cs="微软雅黑"/>
          <w:bCs/>
          <w:sz w:val="21"/>
          <w:szCs w:val="21"/>
        </w:rPr>
        <w:t>2009年于北京注册成立，最终控制人是北京汽车集团有限公司（</w:t>
      </w:r>
      <w:r>
        <w:rPr>
          <w:rFonts w:hint="eastAsia" w:ascii="微软雅黑" w:hAnsi="微软雅黑" w:eastAsia="微软雅黑" w:cs="微软雅黑"/>
          <w:bCs/>
          <w:sz w:val="21"/>
          <w:szCs w:val="21"/>
        </w:rPr>
        <w:t>以下简称</w:t>
      </w:r>
      <w:r>
        <w:rPr>
          <w:rFonts w:hint="eastAsia" w:ascii="微软雅黑" w:hAnsi="微软雅黑" w:eastAsia="微软雅黑" w:cs="微软雅黑"/>
          <w:bCs/>
          <w:sz w:val="21"/>
          <w:szCs w:val="21"/>
        </w:rPr>
        <w:t>北汽集团），主要从事电动乘</w:t>
      </w:r>
      <w:r>
        <w:rPr>
          <w:rFonts w:hint="eastAsia" w:ascii="微软雅黑" w:hAnsi="微软雅黑" w:eastAsia="微软雅黑" w:cs="微软雅黑"/>
          <w:bCs/>
          <w:sz w:val="21"/>
          <w:szCs w:val="21"/>
          <w:highlight w:val="none"/>
        </w:rPr>
        <w:t>用</w:t>
      </w:r>
      <w:r>
        <w:rPr>
          <w:rFonts w:hint="eastAsia" w:ascii="微软雅黑" w:hAnsi="微软雅黑" w:eastAsia="微软雅黑" w:cs="微软雅黑"/>
          <w:bCs/>
          <w:sz w:val="21"/>
          <w:szCs w:val="21"/>
        </w:rPr>
        <w:t>车、混合动力汽车、新能源汽车</w:t>
      </w:r>
      <w:r>
        <w:rPr>
          <w:rFonts w:hint="eastAsia" w:ascii="微软雅黑" w:hAnsi="微软雅黑" w:eastAsia="微软雅黑" w:cs="微软雅黑"/>
          <w:bCs/>
          <w:sz w:val="21"/>
          <w:szCs w:val="21"/>
          <w:lang w:val="en-US" w:eastAsia="zh-CN"/>
        </w:rPr>
        <w:t>制造相关业务</w:t>
      </w:r>
      <w:r>
        <w:rPr>
          <w:rFonts w:hint="eastAsia" w:ascii="微软雅黑" w:hAnsi="微软雅黑" w:eastAsia="微软雅黑" w:cs="微软雅黑"/>
          <w:bCs/>
          <w:sz w:val="21"/>
          <w:szCs w:val="21"/>
        </w:rPr>
        <w:t>。</w:t>
      </w:r>
      <w:r>
        <w:rPr>
          <w:rFonts w:hint="eastAsia" w:ascii="微软雅黑" w:hAnsi="微软雅黑" w:eastAsia="微软雅黑" w:cs="微软雅黑"/>
          <w:bCs/>
          <w:sz w:val="21"/>
          <w:szCs w:val="21"/>
          <w:lang w:val="en-US" w:eastAsia="zh-CN"/>
        </w:rPr>
        <w:t>北汽集团</w:t>
      </w:r>
      <w:r>
        <w:rPr>
          <w:rFonts w:hint="eastAsia" w:ascii="微软雅黑" w:hAnsi="微软雅黑" w:eastAsia="微软雅黑" w:cs="微软雅黑"/>
          <w:bCs/>
          <w:sz w:val="21"/>
          <w:szCs w:val="21"/>
        </w:rPr>
        <w:t>2017年全球</w:t>
      </w:r>
      <w:r>
        <w:rPr>
          <w:rFonts w:hint="eastAsia" w:ascii="微软雅黑" w:hAnsi="微软雅黑" w:eastAsia="微软雅黑" w:cs="微软雅黑"/>
          <w:bCs/>
          <w:sz w:val="21"/>
          <w:szCs w:val="21"/>
          <w:lang w:val="en-US" w:eastAsia="zh-CN"/>
        </w:rPr>
        <w:t>和</w:t>
      </w:r>
      <w:r>
        <w:rPr>
          <w:rFonts w:hint="eastAsia" w:ascii="微软雅黑" w:hAnsi="微软雅黑" w:eastAsia="微软雅黑" w:cs="微软雅黑"/>
          <w:bCs/>
          <w:sz w:val="21"/>
          <w:szCs w:val="21"/>
        </w:rPr>
        <w:t>中国境内营业额</w:t>
      </w:r>
      <w:r>
        <w:rPr>
          <w:rFonts w:hint="eastAsia" w:ascii="微软雅黑" w:hAnsi="微软雅黑" w:eastAsia="微软雅黑" w:cs="微软雅黑"/>
          <w:bCs/>
          <w:sz w:val="21"/>
          <w:szCs w:val="21"/>
          <w:lang w:val="en-US" w:eastAsia="zh-CN"/>
        </w:rPr>
        <w:t>（略）</w:t>
      </w:r>
      <w:r>
        <w:rPr>
          <w:rFonts w:hint="eastAsia" w:ascii="微软雅黑" w:hAnsi="微软雅黑" w:eastAsia="微软雅黑" w:cs="微软雅黑"/>
          <w:bCs/>
          <w:sz w:val="21"/>
          <w:szCs w:val="21"/>
        </w:rPr>
        <w:t>。</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（二）交易概况。</w:t>
      </w:r>
    </w:p>
    <w:p>
      <w:pPr>
        <w:pStyle w:val="7"/>
        <w:pageBreakBefore w:val="0"/>
        <w:kinsoku/>
        <w:topLinePunct w:val="0"/>
        <w:bidi w:val="0"/>
        <w:spacing w:line="240" w:lineRule="auto"/>
        <w:ind w:firstLine="640"/>
        <w:textAlignment w:val="auto"/>
        <w:rPr>
          <w:rFonts w:hint="eastAsia" w:ascii="微软雅黑" w:hAnsi="微软雅黑" w:eastAsia="微软雅黑" w:cs="微软雅黑"/>
          <w:sz w:val="21"/>
          <w:szCs w:val="21"/>
        </w:rPr>
      </w:pPr>
      <w:r>
        <w:rPr>
          <w:rFonts w:hint="eastAsia" w:ascii="微软雅黑" w:hAnsi="微软雅黑" w:eastAsia="微软雅黑" w:cs="微软雅黑"/>
          <w:bCs/>
          <w:sz w:val="21"/>
          <w:szCs w:val="21"/>
          <w:lang w:val="en-US" w:eastAsia="zh-CN"/>
        </w:rPr>
        <w:t>本次交易系设立合营企业。</w:t>
      </w:r>
      <w:r>
        <w:rPr>
          <w:rFonts w:hint="eastAsia" w:ascii="微软雅黑" w:hAnsi="微软雅黑" w:eastAsia="微软雅黑" w:cs="微软雅黑"/>
          <w:bCs/>
          <w:sz w:val="21"/>
          <w:szCs w:val="21"/>
        </w:rPr>
        <w:t>2018年</w:t>
      </w:r>
      <w:r>
        <w:rPr>
          <w:rFonts w:hint="eastAsia" w:ascii="微软雅黑" w:hAnsi="微软雅黑" w:eastAsia="微软雅黑" w:cs="微软雅黑"/>
          <w:bCs/>
          <w:sz w:val="21"/>
          <w:szCs w:val="21"/>
          <w:lang w:val="en-US" w:eastAsia="zh-CN"/>
        </w:rPr>
        <w:t>12月25日</w:t>
      </w:r>
      <w:r>
        <w:rPr>
          <w:rFonts w:hint="eastAsia" w:ascii="微软雅黑" w:hAnsi="微软雅黑" w:eastAsia="微软雅黑" w:cs="微软雅黑"/>
          <w:bCs/>
          <w:sz w:val="21"/>
          <w:szCs w:val="21"/>
        </w:rPr>
        <w:t>，</w:t>
      </w:r>
      <w:r>
        <w:rPr>
          <w:rFonts w:hint="eastAsia" w:ascii="微软雅黑" w:hAnsi="微软雅黑" w:eastAsia="微软雅黑" w:cs="微软雅黑"/>
          <w:bCs/>
          <w:sz w:val="21"/>
          <w:szCs w:val="21"/>
          <w:lang w:val="en-US" w:eastAsia="zh-CN"/>
        </w:rPr>
        <w:t>小桔智能</w:t>
      </w:r>
      <w:r>
        <w:rPr>
          <w:rFonts w:hint="eastAsia" w:ascii="微软雅黑" w:hAnsi="微软雅黑" w:eastAsia="微软雅黑" w:cs="微软雅黑"/>
          <w:bCs/>
          <w:sz w:val="21"/>
          <w:szCs w:val="21"/>
        </w:rPr>
        <w:t>与北汽新能源签署《关于设立合资公司的合资协议》，设立合营企业京桔新能源汽车科技有限公司，持股比例分别为</w:t>
      </w:r>
      <w:r>
        <w:rPr>
          <w:rFonts w:hint="eastAsia" w:ascii="微软雅黑" w:hAnsi="微软雅黑" w:eastAsia="微软雅黑" w:cs="微软雅黑"/>
          <w:bCs/>
          <w:sz w:val="21"/>
          <w:szCs w:val="21"/>
          <w:lang w:val="en-US" w:eastAsia="zh-CN"/>
        </w:rPr>
        <w:t>小桔智能</w:t>
      </w:r>
      <w:r>
        <w:rPr>
          <w:rFonts w:hint="eastAsia" w:ascii="微软雅黑" w:hAnsi="微软雅黑" w:eastAsia="微软雅黑" w:cs="微软雅黑"/>
          <w:bCs/>
          <w:sz w:val="21"/>
          <w:szCs w:val="21"/>
        </w:rPr>
        <w:t>持股67%，北汽新能源持股33%。2018年12月27日，</w:t>
      </w:r>
      <w:r>
        <w:rPr>
          <w:rFonts w:hint="eastAsia" w:ascii="微软雅黑" w:hAnsi="微软雅黑" w:eastAsia="微软雅黑" w:cs="微软雅黑"/>
          <w:sz w:val="21"/>
          <w:szCs w:val="21"/>
        </w:rPr>
        <w:t>合营企业</w:t>
      </w:r>
      <w:r>
        <w:rPr>
          <w:rFonts w:hint="eastAsia" w:ascii="微软雅黑" w:hAnsi="微软雅黑" w:eastAsia="微软雅黑" w:cs="微软雅黑"/>
          <w:sz w:val="21"/>
          <w:szCs w:val="21"/>
          <w:lang w:val="en-US" w:eastAsia="zh-CN"/>
        </w:rPr>
        <w:t>取得营业执照</w:t>
      </w:r>
      <w:r>
        <w:rPr>
          <w:rFonts w:hint="eastAsia" w:ascii="微软雅黑" w:hAnsi="微软雅黑" w:eastAsia="微软雅黑" w:cs="微软雅黑"/>
          <w:sz w:val="21"/>
          <w:szCs w:val="21"/>
        </w:rPr>
        <w:t>。</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（一）本案构成违法实施的经营者集中。</w:t>
      </w:r>
    </w:p>
    <w:p>
      <w:pPr>
        <w:keepNext w:val="0"/>
        <w:keepLines w:val="0"/>
        <w:pageBreakBefore w:val="0"/>
        <w:widowControl w:val="0"/>
        <w:kinsoku/>
        <w:wordWrap/>
        <w:topLinePunct w:val="0"/>
        <w:bidi w:val="0"/>
        <w:spacing w:line="594" w:lineRule="exact"/>
        <w:ind w:firstLine="400" w:firstLineChars="196"/>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根据</w:t>
      </w:r>
      <w:r>
        <w:rPr>
          <w:rFonts w:hint="eastAsia" w:ascii="微软雅黑" w:hAnsi="微软雅黑" w:eastAsia="微软雅黑" w:cs="微软雅黑"/>
          <w:sz w:val="21"/>
          <w:szCs w:val="21"/>
        </w:rPr>
        <w:t>《反垄断法》第二十条</w:t>
      </w:r>
      <w:r>
        <w:rPr>
          <w:rFonts w:hint="eastAsia" w:ascii="微软雅黑" w:hAnsi="微软雅黑" w:eastAsia="微软雅黑" w:cs="微软雅黑"/>
          <w:sz w:val="21"/>
          <w:szCs w:val="21"/>
          <w:lang w:eastAsia="zh-CN"/>
        </w:rPr>
        <w:t>规定</w:t>
      </w:r>
      <w:r>
        <w:rPr>
          <w:rFonts w:hint="eastAsia" w:ascii="微软雅黑" w:hAnsi="微软雅黑" w:eastAsia="微软雅黑" w:cs="微软雅黑"/>
          <w:sz w:val="21"/>
          <w:szCs w:val="21"/>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eastAsia" w:ascii="微软雅黑" w:hAnsi="微软雅黑" w:eastAsia="微软雅黑" w:cs="微软雅黑"/>
          <w:sz w:val="21"/>
          <w:szCs w:val="21"/>
          <w:lang w:val="en-US" w:eastAsia="zh-CN"/>
        </w:rPr>
        <w:t>小桔智能与北汽新能源设立合营企业，分别持股67%、33%，共同控制合营企业，属于《反垄断法》第二十条规定的经营者集中。</w:t>
      </w:r>
    </w:p>
    <w:p>
      <w:pPr>
        <w:pStyle w:val="7"/>
        <w:pageBreakBefore w:val="0"/>
        <w:kinsoku/>
        <w:topLinePunct w:val="0"/>
        <w:bidi w:val="0"/>
        <w:ind w:firstLine="64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b w:val="0"/>
          <w:bCs/>
          <w:sz w:val="21"/>
          <w:szCs w:val="21"/>
          <w:lang w:val="en-US" w:eastAsia="zh-CN"/>
        </w:rPr>
        <w:t>滴滴</w:t>
      </w:r>
      <w:r>
        <w:rPr>
          <w:rFonts w:hint="eastAsia" w:ascii="微软雅黑" w:hAnsi="微软雅黑" w:eastAsia="微软雅黑" w:cs="微软雅黑"/>
          <w:bCs/>
          <w:sz w:val="21"/>
          <w:szCs w:val="21"/>
        </w:rPr>
        <w:t>2017年全球</w:t>
      </w:r>
      <w:r>
        <w:rPr>
          <w:rFonts w:hint="eastAsia" w:ascii="微软雅黑" w:hAnsi="微软雅黑" w:eastAsia="微软雅黑" w:cs="微软雅黑"/>
          <w:bCs/>
          <w:sz w:val="21"/>
          <w:szCs w:val="21"/>
          <w:lang w:val="en-US" w:eastAsia="zh-CN"/>
        </w:rPr>
        <w:t>和中国境内营业额（略）</w:t>
      </w:r>
      <w:r>
        <w:rPr>
          <w:rFonts w:hint="eastAsia" w:ascii="微软雅黑" w:hAnsi="微软雅黑" w:eastAsia="微软雅黑" w:cs="微软雅黑"/>
          <w:b w:val="0"/>
          <w:bCs/>
          <w:sz w:val="21"/>
          <w:szCs w:val="21"/>
          <w:highlight w:val="none"/>
          <w:lang w:eastAsia="zh-CN"/>
        </w:rPr>
        <w:t>；</w:t>
      </w:r>
      <w:r>
        <w:rPr>
          <w:rFonts w:hint="eastAsia" w:ascii="微软雅黑" w:hAnsi="微软雅黑" w:eastAsia="微软雅黑" w:cs="微软雅黑"/>
          <w:b w:val="0"/>
          <w:bCs/>
          <w:sz w:val="21"/>
          <w:szCs w:val="21"/>
          <w:highlight w:val="none"/>
          <w:lang w:val="en-US" w:eastAsia="zh-CN"/>
        </w:rPr>
        <w:t>北汽集团</w:t>
      </w:r>
      <w:r>
        <w:rPr>
          <w:rFonts w:hint="eastAsia" w:ascii="微软雅黑" w:hAnsi="微软雅黑" w:eastAsia="微软雅黑" w:cs="微软雅黑"/>
          <w:bCs/>
          <w:sz w:val="21"/>
          <w:szCs w:val="21"/>
        </w:rPr>
        <w:t>2017年全球</w:t>
      </w:r>
      <w:r>
        <w:rPr>
          <w:rFonts w:hint="eastAsia" w:ascii="微软雅黑" w:hAnsi="微软雅黑" w:eastAsia="微软雅黑" w:cs="微软雅黑"/>
          <w:bCs/>
          <w:sz w:val="21"/>
          <w:szCs w:val="21"/>
          <w:lang w:val="en-US" w:eastAsia="zh-CN"/>
        </w:rPr>
        <w:t>和</w:t>
      </w:r>
      <w:r>
        <w:rPr>
          <w:rFonts w:hint="eastAsia" w:ascii="微软雅黑" w:hAnsi="微软雅黑" w:eastAsia="微软雅黑" w:cs="微软雅黑"/>
          <w:bCs/>
          <w:sz w:val="21"/>
          <w:szCs w:val="21"/>
        </w:rPr>
        <w:t>中国境内营业额</w:t>
      </w:r>
      <w:r>
        <w:rPr>
          <w:rFonts w:hint="eastAsia" w:ascii="微软雅黑" w:hAnsi="微软雅黑" w:eastAsia="微软雅黑" w:cs="微软雅黑"/>
          <w:bCs/>
          <w:sz w:val="21"/>
          <w:szCs w:val="21"/>
          <w:lang w:val="en-US" w:eastAsia="zh-CN"/>
        </w:rPr>
        <w:t>（略）</w:t>
      </w:r>
      <w:r>
        <w:rPr>
          <w:rFonts w:hint="eastAsia" w:ascii="微软雅黑" w:hAnsi="微软雅黑" w:eastAsia="微软雅黑" w:cs="微软雅黑"/>
          <w:sz w:val="21"/>
          <w:szCs w:val="21"/>
          <w:highlight w:val="none"/>
        </w:rPr>
        <w:t>，</w:t>
      </w:r>
      <w:r>
        <w:rPr>
          <w:rFonts w:hint="eastAsia" w:ascii="微软雅黑" w:hAnsi="微软雅黑" w:eastAsia="微软雅黑" w:cs="微软雅黑"/>
          <w:sz w:val="21"/>
          <w:szCs w:val="21"/>
        </w:rPr>
        <w:t>达到《国务院关于经营者集中申报标准的规定》第</w:t>
      </w:r>
      <w:r>
        <w:rPr>
          <w:rFonts w:hint="eastAsia" w:ascii="微软雅黑" w:hAnsi="微软雅黑" w:eastAsia="微软雅黑" w:cs="微软雅黑"/>
          <w:sz w:val="21"/>
          <w:szCs w:val="21"/>
          <w:lang w:eastAsia="zh-CN"/>
        </w:rPr>
        <w:t>三</w:t>
      </w:r>
      <w:r>
        <w:rPr>
          <w:rFonts w:hint="eastAsia" w:ascii="微软雅黑" w:hAnsi="微软雅黑" w:eastAsia="微软雅黑" w:cs="微软雅黑"/>
          <w:sz w:val="21"/>
          <w:szCs w:val="21"/>
        </w:rPr>
        <w:t>条规定的申报标准，属于应当申报的情形。</w:t>
      </w:r>
    </w:p>
    <w:p>
      <w:pPr>
        <w:keepNext w:val="0"/>
        <w:keepLines w:val="0"/>
        <w:pageBreakBefore w:val="0"/>
        <w:widowControl w:val="0"/>
        <w:kinsoku/>
        <w:wordWrap/>
        <w:topLinePunct w:val="0"/>
        <w:bidi w:val="0"/>
        <w:spacing w:line="594" w:lineRule="exact"/>
        <w:ind w:firstLine="400" w:firstLineChars="196"/>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lang w:eastAsia="zh-CN"/>
        </w:rPr>
        <w:t>根据</w:t>
      </w:r>
      <w:r>
        <w:rPr>
          <w:rFonts w:hint="eastAsia" w:ascii="微软雅黑" w:hAnsi="微软雅黑" w:eastAsia="微软雅黑" w:cs="微软雅黑"/>
          <w:sz w:val="21"/>
          <w:szCs w:val="21"/>
        </w:rPr>
        <w:t>《反垄断法》第二十一条</w:t>
      </w:r>
      <w:r>
        <w:rPr>
          <w:rFonts w:hint="eastAsia" w:ascii="微软雅黑" w:hAnsi="微软雅黑" w:eastAsia="微软雅黑" w:cs="微软雅黑"/>
          <w:sz w:val="21"/>
          <w:szCs w:val="21"/>
          <w:lang w:eastAsia="zh-CN"/>
        </w:rPr>
        <w:t>规定“经营者集中达到国务院规定的申报标准的，经营者应当事先向国务院反垄断执法机构申报，未申报的不得实施集中”。</w:t>
      </w:r>
      <w:r>
        <w:rPr>
          <w:rFonts w:hint="eastAsia" w:ascii="微软雅黑" w:hAnsi="微软雅黑" w:eastAsia="微软雅黑" w:cs="微软雅黑"/>
          <w:sz w:val="21"/>
          <w:szCs w:val="21"/>
          <w:lang w:val="en-US" w:eastAsia="zh-CN"/>
        </w:rPr>
        <w:t>2018年12月27日，合营企业完成注册，在此之前未向</w:t>
      </w:r>
      <w:r>
        <w:rPr>
          <w:rFonts w:hint="eastAsia" w:ascii="微软雅黑" w:hAnsi="微软雅黑" w:eastAsia="微软雅黑" w:cs="微软雅黑"/>
          <w:sz w:val="21"/>
          <w:szCs w:val="21"/>
          <w:lang w:val="en-US" w:eastAsia="zh-CN"/>
        </w:rPr>
        <w:t>本机关</w:t>
      </w:r>
      <w:r>
        <w:rPr>
          <w:rFonts w:hint="eastAsia" w:ascii="微软雅黑" w:hAnsi="微软雅黑" w:eastAsia="微软雅黑" w:cs="微软雅黑"/>
          <w:sz w:val="21"/>
          <w:szCs w:val="21"/>
          <w:lang w:val="en-US" w:eastAsia="zh-CN"/>
        </w:rPr>
        <w:t>申报，违反《反垄断法》第二十一条，构成违法实施的经营者集中。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（二）本案不具有排除、限制竞争的效果。</w:t>
      </w:r>
    </w:p>
    <w:p>
      <w:pPr>
        <w:keepNext w:val="0"/>
        <w:keepLines w:val="0"/>
        <w:pageBreakBefore w:val="0"/>
        <w:widowControl w:val="0"/>
        <w:kinsoku/>
        <w:wordWrap/>
        <w:topLinePunct w:val="0"/>
        <w:bidi w:val="0"/>
        <w:spacing w:line="580" w:lineRule="exact"/>
        <w:ind w:firstLine="408" w:firstLineChars="200"/>
        <w:textAlignment w:val="auto"/>
        <w:outlineLvl w:val="0"/>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本机关就</w:t>
      </w:r>
      <w:r>
        <w:rPr>
          <w:rFonts w:hint="eastAsia" w:ascii="微软雅黑" w:hAnsi="微软雅黑" w:eastAsia="微软雅黑" w:cs="微软雅黑"/>
          <w:kern w:val="2"/>
          <w:sz w:val="21"/>
          <w:szCs w:val="21"/>
          <w:lang w:val="en-US" w:eastAsia="zh-CN"/>
        </w:rPr>
        <w:t>小桔智能与北汽新能源</w:t>
      </w:r>
      <w:r>
        <w:rPr>
          <w:rFonts w:hint="eastAsia" w:ascii="微软雅黑" w:hAnsi="微软雅黑" w:eastAsia="微软雅黑" w:cs="微软雅黑"/>
          <w:sz w:val="21"/>
          <w:szCs w:val="21"/>
          <w:lang w:eastAsia="zh-CN"/>
        </w:rPr>
        <w:t>设立合营企业</w:t>
      </w:r>
      <w:r>
        <w:rPr>
          <w:rFonts w:hint="eastAsia" w:ascii="微软雅黑" w:hAnsi="微软雅黑" w:eastAsia="微软雅黑" w:cs="微软雅黑"/>
          <w:kern w:val="2"/>
          <w:sz w:val="21"/>
          <w:szCs w:val="21"/>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三、行政处罚依据和决定</w:t>
      </w:r>
    </w:p>
    <w:p>
      <w:pPr>
        <w:keepNext w:val="0"/>
        <w:keepLines w:val="0"/>
        <w:pageBreakBefore w:val="0"/>
        <w:widowControl w:val="0"/>
        <w:kinsoku/>
        <w:wordWrap/>
        <w:topLinePunct w:val="0"/>
        <w:bidi w:val="0"/>
        <w:spacing w:line="580" w:lineRule="exact"/>
        <w:ind w:firstLine="400" w:firstLineChars="196"/>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《反垄断法》第四十八条</w:t>
      </w:r>
      <w:r>
        <w:rPr>
          <w:rFonts w:hint="eastAsia" w:ascii="微软雅黑" w:hAnsi="微软雅黑" w:eastAsia="微软雅黑" w:cs="微软雅黑"/>
          <w:bCs/>
          <w:color w:val="000000"/>
          <w:kern w:val="2"/>
          <w:sz w:val="21"/>
          <w:szCs w:val="21"/>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eastAsia" w:ascii="微软雅黑" w:hAnsi="微软雅黑" w:eastAsia="微软雅黑" w:cs="微软雅黑"/>
          <w:bCs/>
          <w:color w:val="000000"/>
          <w:kern w:val="2"/>
          <w:sz w:val="21"/>
          <w:szCs w:val="21"/>
        </w:rPr>
        <w:t>《反垄断法》第四十九条</w:t>
      </w:r>
      <w:r>
        <w:rPr>
          <w:rFonts w:hint="eastAsia" w:ascii="微软雅黑" w:hAnsi="微软雅黑" w:eastAsia="微软雅黑" w:cs="微软雅黑"/>
          <w:bCs/>
          <w:color w:val="000000"/>
          <w:kern w:val="2"/>
          <w:sz w:val="21"/>
          <w:szCs w:val="21"/>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bCs/>
          <w:color w:val="000000"/>
          <w:kern w:val="2"/>
          <w:sz w:val="21"/>
          <w:szCs w:val="21"/>
        </w:rPr>
      </w:pPr>
      <w:r>
        <w:rPr>
          <w:rFonts w:hint="eastAsia" w:ascii="微软雅黑" w:hAnsi="微软雅黑" w:eastAsia="微软雅黑" w:cs="微软雅黑"/>
          <w:bCs/>
          <w:color w:val="000000"/>
          <w:kern w:val="2"/>
          <w:sz w:val="21"/>
          <w:szCs w:val="21"/>
        </w:rPr>
        <w:t>根据</w:t>
      </w:r>
      <w:r>
        <w:rPr>
          <w:rFonts w:hint="eastAsia" w:ascii="微软雅黑" w:hAnsi="微软雅黑" w:eastAsia="微软雅黑" w:cs="微软雅黑"/>
          <w:bCs/>
          <w:color w:val="000000"/>
          <w:kern w:val="2"/>
          <w:sz w:val="21"/>
          <w:szCs w:val="21"/>
          <w:lang w:eastAsia="zh-CN"/>
        </w:rPr>
        <w:t>上述规定，</w:t>
      </w:r>
      <w:r>
        <w:rPr>
          <w:rFonts w:hint="eastAsia" w:ascii="微软雅黑" w:hAnsi="微软雅黑" w:eastAsia="微软雅黑" w:cs="微软雅黑"/>
          <w:bCs/>
          <w:color w:val="000000"/>
          <w:kern w:val="2"/>
          <w:sz w:val="21"/>
          <w:szCs w:val="21"/>
        </w:rPr>
        <w:t>基于调查情况和评估结论，本机关</w:t>
      </w:r>
      <w:r>
        <w:rPr>
          <w:rFonts w:hint="eastAsia" w:ascii="微软雅黑" w:hAnsi="微软雅黑" w:eastAsia="微软雅黑" w:cs="微软雅黑"/>
          <w:bCs/>
          <w:color w:val="000000"/>
          <w:kern w:val="2"/>
          <w:sz w:val="21"/>
          <w:szCs w:val="21"/>
          <w:lang w:eastAsia="zh-CN"/>
        </w:rPr>
        <w:t>给予</w:t>
      </w:r>
      <w:r>
        <w:rPr>
          <w:rFonts w:hint="eastAsia" w:ascii="微软雅黑" w:hAnsi="微软雅黑" w:eastAsia="微软雅黑" w:cs="微软雅黑"/>
          <w:kern w:val="2"/>
          <w:sz w:val="21"/>
          <w:szCs w:val="21"/>
          <w:lang w:val="en-US" w:eastAsia="zh-CN"/>
        </w:rPr>
        <w:t>小桔智能</w:t>
      </w:r>
      <w:r>
        <w:rPr>
          <w:rFonts w:hint="eastAsia" w:ascii="微软雅黑" w:hAnsi="微软雅黑" w:eastAsia="微软雅黑" w:cs="微软雅黑"/>
          <w:sz w:val="21"/>
          <w:szCs w:val="21"/>
          <w:lang w:val="en-US" w:eastAsia="zh-CN"/>
        </w:rPr>
        <w:t>和北汽新能源各</w:t>
      </w:r>
      <w:r>
        <w:rPr>
          <w:rFonts w:hint="eastAsia" w:ascii="微软雅黑" w:hAnsi="微软雅黑" w:eastAsia="微软雅黑" w:cs="微软雅黑"/>
          <w:bCs/>
          <w:sz w:val="21"/>
          <w:szCs w:val="21"/>
          <w:lang w:val="en-US" w:eastAsia="zh-CN"/>
        </w:rPr>
        <w:t>5</w:t>
      </w:r>
      <w:r>
        <w:rPr>
          <w:rFonts w:hint="eastAsia" w:ascii="微软雅黑" w:hAnsi="微软雅黑" w:eastAsia="微软雅黑" w:cs="微软雅黑"/>
          <w:bCs/>
          <w:color w:val="000000"/>
          <w:kern w:val="2"/>
          <w:sz w:val="21"/>
          <w:szCs w:val="21"/>
        </w:rPr>
        <w:t>0万元</w:t>
      </w:r>
      <w:r>
        <w:rPr>
          <w:rFonts w:hint="eastAsia" w:ascii="微软雅黑" w:hAnsi="微软雅黑" w:eastAsia="微软雅黑" w:cs="微软雅黑"/>
          <w:bCs/>
          <w:color w:val="000000"/>
          <w:kern w:val="2"/>
          <w:sz w:val="21"/>
          <w:szCs w:val="21"/>
          <w:lang w:eastAsia="zh-CN"/>
        </w:rPr>
        <w:t>罚款</w:t>
      </w:r>
      <w:r>
        <w:rPr>
          <w:rFonts w:hint="eastAsia" w:ascii="微软雅黑" w:hAnsi="微软雅黑" w:eastAsia="微软雅黑" w:cs="微软雅黑"/>
          <w:bCs/>
          <w:color w:val="000000"/>
          <w:kern w:val="2"/>
          <w:sz w:val="21"/>
          <w:szCs w:val="21"/>
        </w:rPr>
        <w:t>的行政处罚。</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lang w:eastAsia="zh-CN"/>
        </w:rPr>
      </w:pPr>
      <w:r>
        <w:rPr>
          <w:rFonts w:hint="eastAsia" w:ascii="微软雅黑" w:hAnsi="微软雅黑" w:eastAsia="微软雅黑" w:cs="微软雅黑"/>
          <w:kern w:val="2"/>
          <w:sz w:val="21"/>
          <w:szCs w:val="21"/>
        </w:rPr>
        <w:t>《行政处罚法》第四十六条规定</w:t>
      </w:r>
      <w:r>
        <w:rPr>
          <w:rFonts w:hint="eastAsia" w:ascii="微软雅黑" w:hAnsi="微软雅黑" w:eastAsia="微软雅黑" w:cs="微软雅黑"/>
          <w:kern w:val="2"/>
          <w:sz w:val="21"/>
          <w:szCs w:val="21"/>
          <w:lang w:eastAsia="zh-CN"/>
        </w:rPr>
        <w:t>“作出罚款决定的行政机关应当与收缴罚款的机构分离。除依照本法第四十七条、第四十八条的规定当场收缴的罚款外，作出行政处罚决定的行政机关及其执法人员不得自行收缴罚款。当事人应当自收到行政处罚决定书之日起十五日内，到指定的银行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eastAsia="zh-CN"/>
        </w:rPr>
        <w:t>当事人</w:t>
      </w:r>
      <w:r>
        <w:rPr>
          <w:rFonts w:hint="eastAsia" w:ascii="微软雅黑" w:hAnsi="微软雅黑" w:eastAsia="微软雅黑" w:cs="微软雅黑"/>
          <w:kern w:val="2"/>
          <w:sz w:val="21"/>
          <w:szCs w:val="21"/>
        </w:rPr>
        <w:t>应当自收到本行政处罚决定书之日起十五日内，根据本行政处罚决定书，携缴款码到12家中央财政非税收入收缴代理银行（工、农、中、建、交、中信、光大、招商、邮储、华夏、平安、兴业）任一银行网点或者网上银行交纳罚款。缴款码：</w:t>
      </w:r>
      <w:r>
        <w:rPr>
          <w:rFonts w:hint="eastAsia" w:ascii="微软雅黑" w:hAnsi="微软雅黑" w:eastAsia="微软雅黑" w:cs="微软雅黑"/>
          <w:kern w:val="2"/>
          <w:sz w:val="21"/>
          <w:szCs w:val="21"/>
          <w:lang w:val="en-US" w:eastAsia="zh-CN"/>
        </w:rPr>
        <w:t>小桔智能0000002101210672；北汽新能源0000002101210680。</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eastAsia="zh-CN"/>
        </w:rPr>
        <w:t>当事人</w:t>
      </w:r>
      <w:r>
        <w:rPr>
          <w:rFonts w:hint="eastAsia" w:ascii="微软雅黑" w:hAnsi="微软雅黑" w:eastAsia="微软雅黑" w:cs="微软雅黑"/>
          <w:kern w:val="2"/>
          <w:sz w:val="21"/>
          <w:szCs w:val="21"/>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80" w:lineRule="exact"/>
        <w:ind w:firstLine="3530" w:firstLineChars="173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市场监管总局</w:t>
      </w:r>
    </w:p>
    <w:p>
      <w:pPr>
        <w:keepNext w:val="0"/>
        <w:keepLines w:val="0"/>
        <w:pageBreakBefore w:val="0"/>
        <w:widowControl w:val="0"/>
        <w:kinsoku/>
        <w:wordWrap/>
        <w:topLinePunct w:val="0"/>
        <w:bidi w:val="0"/>
        <w:snapToGrid w:val="0"/>
        <w:spacing w:line="580" w:lineRule="exact"/>
        <w:ind w:firstLine="3395" w:firstLineChars="1664"/>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年</w:t>
      </w:r>
      <w:r>
        <w:rPr>
          <w:rFonts w:hint="eastAsia" w:ascii="微软雅黑" w:hAnsi="微软雅黑" w:eastAsia="微软雅黑" w:cs="微软雅黑"/>
          <w:kern w:val="2"/>
          <w:sz w:val="21"/>
          <w:szCs w:val="21"/>
          <w:lang w:val="en-US" w:eastAsia="zh-CN"/>
        </w:rPr>
        <w:t>7</w:t>
      </w:r>
      <w:r>
        <w:rPr>
          <w:rFonts w:hint="eastAsia" w:ascii="微软雅黑" w:hAnsi="微软雅黑" w:eastAsia="微软雅黑" w:cs="微软雅黑"/>
          <w:kern w:val="2"/>
          <w:sz w:val="21"/>
          <w:szCs w:val="21"/>
        </w:rPr>
        <w:t>月</w:t>
      </w:r>
      <w:r>
        <w:rPr>
          <w:rFonts w:hint="eastAsia" w:ascii="微软雅黑" w:hAnsi="微软雅黑" w:eastAsia="微软雅黑" w:cs="微软雅黑"/>
          <w:kern w:val="2"/>
          <w:sz w:val="21"/>
          <w:szCs w:val="21"/>
          <w:lang w:val="en-US" w:eastAsia="zh-CN"/>
        </w:rPr>
        <w:t>6</w:t>
      </w:r>
      <w:r>
        <w:rPr>
          <w:rFonts w:hint="eastAsia" w:ascii="微软雅黑" w:hAnsi="微软雅黑" w:eastAsia="微软雅黑" w:cs="微软雅黑"/>
          <w:kern w:val="2"/>
          <w:sz w:val="21"/>
          <w:szCs w:val="21"/>
        </w:rPr>
        <w:t>日</w:t>
      </w:r>
    </w:p>
    <w:p>
      <w:pPr>
        <w:keepNext w:val="0"/>
        <w:keepLines w:val="0"/>
        <w:pageBreakBefore w:val="0"/>
        <w:widowControl w:val="0"/>
        <w:kinsoku/>
        <w:wordWrap/>
        <w:topLinePunct w:val="0"/>
        <w:bidi w:val="0"/>
        <w:spacing w:line="580" w:lineRule="exact"/>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kern w:val="2"/>
          <w:sz w:val="21"/>
          <w:szCs w:val="21"/>
        </w:rPr>
        <w:t>（此件公开发布）</w:t>
      </w:r>
    </w:p>
    <w:bookmarkEnd w:id="0"/>
    <w:sectPr>
      <w:footerReference r:id="rId3" w:type="default"/>
      <w:footerReference r:id="rId4" w:type="even"/>
      <w:pgSz w:w="11906" w:h="16838"/>
      <w:pgMar w:top="18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15" w:leftChars="150" w:right="315" w:rightChars="150"/>
      <w:rPr>
        <w:rStyle w:val="6"/>
        <w:rFonts w:hint="eastAsia"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w:t>
    </w:r>
    <w:r>
      <w:rPr>
        <w:rStyle w:val="6"/>
        <w:rFonts w:ascii="宋体" w:hAnsi="宋体"/>
        <w:sz w:val="28"/>
        <w:szCs w:val="28"/>
      </w:rPr>
      <w:fldChar w:fldCharType="end"/>
    </w:r>
    <w:r>
      <w:rPr>
        <w:rStyle w:val="6"/>
        <w:rFonts w:hint="eastAsia" w:ascii="宋体" w:hAnsi="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12049C2"/>
    <w:rsid w:val="0153063F"/>
    <w:rsid w:val="01A839B5"/>
    <w:rsid w:val="01E27CAC"/>
    <w:rsid w:val="02686764"/>
    <w:rsid w:val="03235387"/>
    <w:rsid w:val="0449129C"/>
    <w:rsid w:val="05E71AC3"/>
    <w:rsid w:val="075F674C"/>
    <w:rsid w:val="083430C7"/>
    <w:rsid w:val="09AC08F5"/>
    <w:rsid w:val="0CB1630C"/>
    <w:rsid w:val="0D4F123B"/>
    <w:rsid w:val="0FA70C29"/>
    <w:rsid w:val="124546B4"/>
    <w:rsid w:val="12D617D9"/>
    <w:rsid w:val="131E7A78"/>
    <w:rsid w:val="13F92090"/>
    <w:rsid w:val="14E769C2"/>
    <w:rsid w:val="1623157C"/>
    <w:rsid w:val="16657401"/>
    <w:rsid w:val="16DE70D7"/>
    <w:rsid w:val="18DB1E51"/>
    <w:rsid w:val="192053EE"/>
    <w:rsid w:val="19FF5BD3"/>
    <w:rsid w:val="1A156921"/>
    <w:rsid w:val="1ADB3431"/>
    <w:rsid w:val="1B0337EA"/>
    <w:rsid w:val="1B095395"/>
    <w:rsid w:val="1B223165"/>
    <w:rsid w:val="1C2A697C"/>
    <w:rsid w:val="1C3B30D9"/>
    <w:rsid w:val="1D3570B1"/>
    <w:rsid w:val="1F573D93"/>
    <w:rsid w:val="213B5A0D"/>
    <w:rsid w:val="24392337"/>
    <w:rsid w:val="254F6C9D"/>
    <w:rsid w:val="259F3C1C"/>
    <w:rsid w:val="2608726A"/>
    <w:rsid w:val="261F51BF"/>
    <w:rsid w:val="265326DA"/>
    <w:rsid w:val="26D23DFE"/>
    <w:rsid w:val="28745400"/>
    <w:rsid w:val="28C8606C"/>
    <w:rsid w:val="29171A1E"/>
    <w:rsid w:val="29A0766B"/>
    <w:rsid w:val="29F70A22"/>
    <w:rsid w:val="2A4A1C9E"/>
    <w:rsid w:val="2C7739A2"/>
    <w:rsid w:val="2CBC70C7"/>
    <w:rsid w:val="2ED62074"/>
    <w:rsid w:val="2F5A18F5"/>
    <w:rsid w:val="300B75DD"/>
    <w:rsid w:val="3069119D"/>
    <w:rsid w:val="30962DCE"/>
    <w:rsid w:val="31E778A8"/>
    <w:rsid w:val="33B94AAA"/>
    <w:rsid w:val="349974C5"/>
    <w:rsid w:val="35B03B5A"/>
    <w:rsid w:val="38043EF0"/>
    <w:rsid w:val="386A294D"/>
    <w:rsid w:val="3B355144"/>
    <w:rsid w:val="3B5D2A4F"/>
    <w:rsid w:val="3C7C1774"/>
    <w:rsid w:val="431D6ECE"/>
    <w:rsid w:val="4570051C"/>
    <w:rsid w:val="45F50A3C"/>
    <w:rsid w:val="46E42D2C"/>
    <w:rsid w:val="48B07C4C"/>
    <w:rsid w:val="49513DE5"/>
    <w:rsid w:val="49F75885"/>
    <w:rsid w:val="4ABC40B8"/>
    <w:rsid w:val="4BE41131"/>
    <w:rsid w:val="4EF957B9"/>
    <w:rsid w:val="4EFD73AF"/>
    <w:rsid w:val="4FBB0857"/>
    <w:rsid w:val="4FDB2438"/>
    <w:rsid w:val="509E06F1"/>
    <w:rsid w:val="51075873"/>
    <w:rsid w:val="573C2343"/>
    <w:rsid w:val="5A8C3C9C"/>
    <w:rsid w:val="5B8B0DC5"/>
    <w:rsid w:val="5BDD2331"/>
    <w:rsid w:val="5D4E6DD5"/>
    <w:rsid w:val="5EFA53DB"/>
    <w:rsid w:val="602F6571"/>
    <w:rsid w:val="62E72A13"/>
    <w:rsid w:val="631604C1"/>
    <w:rsid w:val="66E46237"/>
    <w:rsid w:val="676E5E25"/>
    <w:rsid w:val="6947638C"/>
    <w:rsid w:val="6A3F091C"/>
    <w:rsid w:val="6C8D52AD"/>
    <w:rsid w:val="6F712D0C"/>
    <w:rsid w:val="6FC82C30"/>
    <w:rsid w:val="71205B4B"/>
    <w:rsid w:val="74AB2647"/>
    <w:rsid w:val="7A782B89"/>
    <w:rsid w:val="7D641176"/>
    <w:rsid w:val="7F10244C"/>
    <w:rsid w:val="7FA57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2020-12-10T02:26:00Z</dcterms:created>
  <dc:creator>徐霄飞</dc:creator>
  <cp:lastModifiedBy>陈永仁</cp:lastModifiedBy>
  <cp:lastPrinted>2021-03-10T01:28:00Z</cp:lastPrinted>
  <dcterms:modified xsi:type="dcterms:W3CDTF">2021-07-10T14:48:10Z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940B60122D0047619B3DE608C50599A2</vt:lpwstr>
  </property>
</Properties>
</file>