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94" w:lineRule="exact"/>
        <w:jc w:val="center"/>
        <w:rPr>
          <w:rFonts w:hint="eastAsia" w:ascii="微软雅黑" w:hAnsi="微软雅黑" w:eastAsia="微软雅黑" w:cs="微软雅黑"/>
          <w:bCs/>
          <w:color w:val="000000"/>
          <w:sz w:val="21"/>
          <w:szCs w:val="21"/>
        </w:rPr>
      </w:pPr>
      <w:bookmarkStart w:id="2" w:name="_GoBack"/>
      <w:r>
        <w:rPr>
          <w:rFonts w:hint="eastAsia" w:ascii="微软雅黑" w:hAnsi="微软雅黑" w:eastAsia="微软雅黑" w:cs="微软雅黑"/>
          <w:bCs/>
          <w:color w:val="000000"/>
          <w:spacing w:val="202"/>
          <w:kern w:val="0"/>
          <w:sz w:val="21"/>
          <w:szCs w:val="21"/>
          <w:fitText w:val="5742" w:id="771889498"/>
        </w:rPr>
        <w:t>国家市场监督管理总</w:t>
      </w:r>
      <w:r>
        <w:rPr>
          <w:rFonts w:hint="eastAsia" w:ascii="微软雅黑" w:hAnsi="微软雅黑" w:eastAsia="微软雅黑" w:cs="微软雅黑"/>
          <w:bCs/>
          <w:color w:val="000000"/>
          <w:spacing w:val="3"/>
          <w:kern w:val="0"/>
          <w:sz w:val="21"/>
          <w:szCs w:val="21"/>
          <w:fitText w:val="5742" w:id="771889498"/>
        </w:rPr>
        <w:t>局</w:t>
      </w:r>
    </w:p>
    <w:p>
      <w:pPr>
        <w:spacing w:line="594"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bCs/>
          <w:color w:val="000000"/>
          <w:spacing w:val="356"/>
          <w:kern w:val="0"/>
          <w:sz w:val="21"/>
          <w:szCs w:val="21"/>
          <w:fitText w:val="5742" w:id="1"/>
        </w:rPr>
        <w:t>行政处罚决定</w:t>
      </w:r>
      <w:r>
        <w:rPr>
          <w:rFonts w:hint="eastAsia" w:ascii="微软雅黑" w:hAnsi="微软雅黑" w:eastAsia="微软雅黑" w:cs="微软雅黑"/>
          <w:bCs/>
          <w:color w:val="000000"/>
          <w:spacing w:val="0"/>
          <w:kern w:val="0"/>
          <w:sz w:val="21"/>
          <w:szCs w:val="21"/>
          <w:fitText w:val="5742" w:id="1"/>
        </w:rPr>
        <w:t>书</w:t>
      </w:r>
    </w:p>
    <w:p>
      <w:pPr>
        <w:spacing w:line="594"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国市监处〔2021〕</w:t>
      </w:r>
      <w:r>
        <w:rPr>
          <w:rFonts w:hint="eastAsia" w:ascii="微软雅黑" w:hAnsi="微软雅黑" w:eastAsia="微软雅黑" w:cs="微软雅黑"/>
          <w:sz w:val="21"/>
          <w:szCs w:val="21"/>
          <w:lang w:val="en-US" w:eastAsia="zh-CN"/>
        </w:rPr>
        <w:t>47</w:t>
      </w:r>
      <w:r>
        <w:rPr>
          <w:rFonts w:hint="eastAsia" w:ascii="微软雅黑" w:hAnsi="微软雅黑" w:eastAsia="微软雅黑" w:cs="微软雅黑"/>
          <w:sz w:val="21"/>
          <w:szCs w:val="21"/>
        </w:rPr>
        <w:t>号</w:t>
      </w:r>
    </w:p>
    <w:p>
      <w:pPr>
        <w:spacing w:line="594" w:lineRule="exact"/>
        <w:jc w:val="center"/>
        <w:rPr>
          <w:rFonts w:hint="eastAsia" w:ascii="微软雅黑" w:hAnsi="微软雅黑" w:eastAsia="微软雅黑" w:cs="微软雅黑"/>
          <w:sz w:val="21"/>
          <w:szCs w:val="21"/>
        </w:rPr>
      </w:pP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408" w:firstLineChars="20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当事人：</w:t>
      </w:r>
      <w:r>
        <w:rPr>
          <w:rFonts w:hint="eastAsia" w:ascii="微软雅黑" w:hAnsi="微软雅黑" w:eastAsia="微软雅黑" w:cs="微软雅黑"/>
          <w:bCs/>
          <w:sz w:val="21"/>
          <w:szCs w:val="21"/>
        </w:rPr>
        <w:t>惠迪（天津）商务服务有限公司</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408" w:firstLineChars="20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住  所：</w:t>
      </w:r>
      <w:r>
        <w:rPr>
          <w:rFonts w:hint="eastAsia" w:ascii="微软雅黑" w:hAnsi="微软雅黑" w:eastAsia="微软雅黑" w:cs="微软雅黑"/>
          <w:sz w:val="21"/>
          <w:szCs w:val="21"/>
        </w:rPr>
        <w:t>天津经济技术开发区南港工业综合服务区办公室D座二层219-33室</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408" w:firstLineChars="20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当事人：</w:t>
      </w:r>
      <w:r>
        <w:rPr>
          <w:rFonts w:hint="eastAsia" w:ascii="微软雅黑" w:hAnsi="微软雅黑" w:eastAsia="微软雅黑" w:cs="微软雅黑"/>
          <w:bCs/>
          <w:sz w:val="21"/>
          <w:szCs w:val="21"/>
        </w:rPr>
        <w:t>特来电新能源股份有限公司</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408" w:firstLineChars="20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住  所：</w:t>
      </w:r>
      <w:r>
        <w:rPr>
          <w:rFonts w:hint="eastAsia" w:ascii="微软雅黑" w:hAnsi="微软雅黑" w:eastAsia="微软雅黑" w:cs="微软雅黑"/>
          <w:sz w:val="21"/>
          <w:szCs w:val="21"/>
        </w:rPr>
        <w:t>山东省青岛市崂山区松岭路336号8层808室</w:t>
      </w:r>
    </w:p>
    <w:p>
      <w:pPr>
        <w:pStyle w:val="2"/>
        <w:keepNext w:val="0"/>
        <w:keepLines w:val="0"/>
        <w:pageBreakBefore w:val="0"/>
        <w:widowControl w:val="0"/>
        <w:kinsoku/>
        <w:wordWrap/>
        <w:topLinePunct w:val="0"/>
        <w:bidi w:val="0"/>
        <w:adjustRightInd/>
        <w:snapToGrid/>
        <w:spacing w:after="0" w:line="240" w:lineRule="auto"/>
        <w:textAlignment w:val="auto"/>
        <w:rPr>
          <w:rFonts w:hint="eastAsia" w:ascii="微软雅黑" w:hAnsi="微软雅黑" w:eastAsia="微软雅黑" w:cs="微软雅黑"/>
          <w:sz w:val="21"/>
          <w:szCs w:val="21"/>
        </w:rPr>
      </w:pP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根据《中华人民共和国反垄断法》（以下简称《反垄断法》）《经营者集中审查暂行规定》，本机关于</w:t>
      </w:r>
      <w:r>
        <w:rPr>
          <w:rFonts w:hint="eastAsia" w:ascii="微软雅黑" w:hAnsi="微软雅黑" w:eastAsia="微软雅黑" w:cs="微软雅黑"/>
          <w:sz w:val="21"/>
          <w:szCs w:val="21"/>
        </w:rPr>
        <w:t>2021年4月12日对惠迪（天津）商务服务有限公司</w:t>
      </w:r>
      <w:r>
        <w:rPr>
          <w:rFonts w:hint="eastAsia" w:ascii="微软雅黑" w:hAnsi="微软雅黑" w:eastAsia="微软雅黑" w:cs="微软雅黑"/>
          <w:sz w:val="21"/>
          <w:szCs w:val="21"/>
          <w:lang w:eastAsia="zh-CN"/>
        </w:rPr>
        <w:t>（以下简称惠迪天津）</w:t>
      </w:r>
      <w:r>
        <w:rPr>
          <w:rFonts w:hint="eastAsia" w:ascii="微软雅黑" w:hAnsi="微软雅黑" w:eastAsia="微软雅黑" w:cs="微软雅黑"/>
          <w:sz w:val="21"/>
          <w:szCs w:val="21"/>
        </w:rPr>
        <w:t>与特来电新能源股份有限公司</w:t>
      </w:r>
      <w:r>
        <w:rPr>
          <w:rFonts w:hint="eastAsia" w:ascii="微软雅黑" w:hAnsi="微软雅黑" w:eastAsia="微软雅黑" w:cs="微软雅黑"/>
          <w:sz w:val="21"/>
          <w:szCs w:val="21"/>
          <w:lang w:eastAsia="zh-CN"/>
        </w:rPr>
        <w:t>（以下简称特来电）</w:t>
      </w:r>
      <w:r>
        <w:rPr>
          <w:rFonts w:hint="eastAsia" w:ascii="微软雅黑" w:hAnsi="微软雅黑" w:eastAsia="微软雅黑" w:cs="微软雅黑"/>
          <w:sz w:val="21"/>
          <w:szCs w:val="21"/>
        </w:rPr>
        <w:t>设立合营企业</w:t>
      </w:r>
      <w:r>
        <w:rPr>
          <w:rFonts w:hint="eastAsia" w:ascii="微软雅黑" w:hAnsi="微软雅黑" w:eastAsia="微软雅黑" w:cs="微软雅黑"/>
          <w:bCs/>
          <w:sz w:val="21"/>
          <w:szCs w:val="21"/>
        </w:rPr>
        <w:t>涉嫌违法实施经营者集中案</w:t>
      </w:r>
      <w:r>
        <w:rPr>
          <w:rFonts w:hint="eastAsia" w:ascii="微软雅黑" w:hAnsi="微软雅黑" w:eastAsia="微软雅黑" w:cs="微软雅黑"/>
          <w:sz w:val="21"/>
          <w:szCs w:val="21"/>
        </w:rPr>
        <w:t>进行立案调查。</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经查，该案构成违法实施的经营者集中，但不具有排除、限制竞争的效果。本机关按照《中华人民共和国行政处罚法》</w:t>
      </w:r>
      <w:r>
        <w:rPr>
          <w:rFonts w:hint="eastAsia" w:ascii="微软雅黑" w:hAnsi="微软雅黑" w:eastAsia="微软雅黑" w:cs="微软雅黑"/>
          <w:sz w:val="21"/>
          <w:szCs w:val="21"/>
        </w:rPr>
        <w:t>（以下简称</w:t>
      </w:r>
      <w:r>
        <w:rPr>
          <w:rFonts w:hint="eastAsia" w:ascii="微软雅黑" w:hAnsi="微软雅黑" w:eastAsia="微软雅黑" w:cs="微软雅黑"/>
          <w:sz w:val="21"/>
          <w:szCs w:val="21"/>
        </w:rPr>
        <w:t>《行政处罚法》</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的规定，向</w:t>
      </w:r>
      <w:r>
        <w:rPr>
          <w:rFonts w:hint="eastAsia" w:ascii="微软雅黑" w:hAnsi="微软雅黑" w:eastAsia="微软雅黑" w:cs="微软雅黑"/>
          <w:bCs/>
          <w:sz w:val="21"/>
          <w:szCs w:val="21"/>
          <w:lang w:eastAsia="zh-CN"/>
        </w:rPr>
        <w:t>惠迪天津</w:t>
      </w:r>
      <w:r>
        <w:rPr>
          <w:rFonts w:hint="eastAsia" w:ascii="微软雅黑" w:hAnsi="微软雅黑" w:eastAsia="微软雅黑" w:cs="微软雅黑"/>
          <w:bCs/>
          <w:sz w:val="21"/>
          <w:szCs w:val="21"/>
        </w:rPr>
        <w:t>、</w:t>
      </w:r>
      <w:r>
        <w:rPr>
          <w:rFonts w:hint="eastAsia" w:ascii="微软雅黑" w:hAnsi="微软雅黑" w:eastAsia="微软雅黑" w:cs="微软雅黑"/>
          <w:bCs/>
          <w:sz w:val="21"/>
          <w:szCs w:val="21"/>
          <w:lang w:eastAsia="zh-CN"/>
        </w:rPr>
        <w:t>特来电</w:t>
      </w:r>
      <w:r>
        <w:rPr>
          <w:rFonts w:hint="eastAsia" w:ascii="微软雅黑" w:hAnsi="微软雅黑" w:eastAsia="微软雅黑" w:cs="微软雅黑"/>
          <w:sz w:val="21"/>
          <w:szCs w:val="21"/>
        </w:rPr>
        <w:t>送达了《行政处罚告知书》，告知其拟作出行政处罚决定的事实、理由、证据、处罚内容，以及其依法享有的陈述权、申辩权和要求听证权。</w:t>
      </w:r>
      <w:r>
        <w:rPr>
          <w:rFonts w:hint="eastAsia" w:ascii="微软雅黑" w:hAnsi="微软雅黑" w:eastAsia="微软雅黑" w:cs="微软雅黑"/>
          <w:bCs/>
          <w:sz w:val="21"/>
          <w:szCs w:val="21"/>
          <w:lang w:eastAsia="zh-CN"/>
        </w:rPr>
        <w:t>惠迪天津</w:t>
      </w:r>
      <w:r>
        <w:rPr>
          <w:rFonts w:hint="eastAsia" w:ascii="微软雅黑" w:hAnsi="微软雅黑" w:eastAsia="微软雅黑" w:cs="微软雅黑"/>
          <w:bCs/>
          <w:sz w:val="21"/>
          <w:szCs w:val="21"/>
        </w:rPr>
        <w:t>、</w:t>
      </w:r>
      <w:r>
        <w:rPr>
          <w:rFonts w:hint="eastAsia" w:ascii="微软雅黑" w:hAnsi="微软雅黑" w:eastAsia="微软雅黑" w:cs="微软雅黑"/>
          <w:bCs/>
          <w:sz w:val="21"/>
          <w:szCs w:val="21"/>
          <w:lang w:eastAsia="zh-CN"/>
        </w:rPr>
        <w:t>特来电</w:t>
      </w:r>
      <w:r>
        <w:rPr>
          <w:rFonts w:hint="eastAsia" w:ascii="微软雅黑" w:hAnsi="微软雅黑" w:eastAsia="微软雅黑" w:cs="微软雅黑"/>
          <w:sz w:val="21"/>
          <w:szCs w:val="21"/>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408" w:firstLineChars="200"/>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408" w:firstLineChars="200"/>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（一）交易方。</w:t>
      </w:r>
    </w:p>
    <w:p>
      <w:pPr>
        <w:pStyle w:val="11"/>
        <w:pageBreakBefore w:val="0"/>
        <w:widowControl w:val="0"/>
        <w:kinsoku/>
        <w:wordWrap/>
        <w:topLinePunct w:val="0"/>
        <w:bidi w:val="0"/>
        <w:snapToGrid/>
        <w:spacing w:line="240" w:lineRule="auto"/>
        <w:ind w:firstLine="643"/>
        <w:textAlignment w:val="auto"/>
        <w:rPr>
          <w:rFonts w:hint="eastAsia" w:ascii="微软雅黑" w:hAnsi="微软雅黑" w:eastAsia="微软雅黑" w:cs="微软雅黑"/>
          <w:bCs/>
          <w:sz w:val="21"/>
          <w:szCs w:val="21"/>
        </w:rPr>
      </w:pPr>
      <w:r>
        <w:rPr>
          <w:rFonts w:hint="eastAsia" w:ascii="微软雅黑" w:hAnsi="微软雅黑" w:eastAsia="微软雅黑" w:cs="微软雅黑"/>
          <w:b/>
          <w:sz w:val="21"/>
          <w:szCs w:val="21"/>
        </w:rPr>
        <w:t>合营方一</w:t>
      </w:r>
      <w:r>
        <w:rPr>
          <w:rFonts w:hint="eastAsia" w:ascii="微软雅黑" w:hAnsi="微软雅黑" w:eastAsia="微软雅黑" w:cs="微软雅黑"/>
          <w:b/>
          <w:sz w:val="21"/>
          <w:szCs w:val="21"/>
        </w:rPr>
        <w:t>：</w:t>
      </w:r>
      <w:r>
        <w:rPr>
          <w:rFonts w:hint="eastAsia" w:ascii="微软雅黑" w:hAnsi="微软雅黑" w:eastAsia="微软雅黑" w:cs="微软雅黑"/>
          <w:b/>
          <w:sz w:val="21"/>
          <w:szCs w:val="21"/>
          <w:lang w:eastAsia="zh-CN"/>
        </w:rPr>
        <w:t>惠迪天津</w:t>
      </w:r>
      <w:r>
        <w:rPr>
          <w:rFonts w:hint="eastAsia" w:ascii="微软雅黑" w:hAnsi="微软雅黑" w:eastAsia="微软雅黑" w:cs="微软雅黑"/>
          <w:sz w:val="21"/>
          <w:szCs w:val="21"/>
        </w:rPr>
        <w:t>。</w:t>
      </w:r>
      <w:r>
        <w:rPr>
          <w:rFonts w:hint="eastAsia" w:ascii="微软雅黑" w:hAnsi="微软雅黑" w:eastAsia="微软雅黑" w:cs="微软雅黑"/>
          <w:bCs/>
          <w:sz w:val="21"/>
          <w:szCs w:val="21"/>
        </w:rPr>
        <w:t>20</w:t>
      </w:r>
      <w:r>
        <w:rPr>
          <w:rFonts w:hint="eastAsia" w:ascii="微软雅黑" w:hAnsi="微软雅黑" w:eastAsia="微软雅黑" w:cs="微软雅黑"/>
          <w:bCs/>
          <w:sz w:val="21"/>
          <w:szCs w:val="21"/>
          <w:lang w:val="en-US" w:eastAsia="zh-CN"/>
        </w:rPr>
        <w:t>15</w:t>
      </w:r>
      <w:r>
        <w:rPr>
          <w:rFonts w:hint="eastAsia" w:ascii="微软雅黑" w:hAnsi="微软雅黑" w:eastAsia="微软雅黑" w:cs="微软雅黑"/>
          <w:bCs/>
          <w:sz w:val="21"/>
          <w:szCs w:val="21"/>
        </w:rPr>
        <w:t>年</w:t>
      </w:r>
      <w:r>
        <w:rPr>
          <w:rFonts w:hint="eastAsia" w:ascii="微软雅黑" w:hAnsi="微软雅黑" w:eastAsia="微软雅黑" w:cs="微软雅黑"/>
          <w:bCs/>
          <w:sz w:val="21"/>
          <w:szCs w:val="21"/>
        </w:rPr>
        <w:t>在</w:t>
      </w:r>
      <w:r>
        <w:rPr>
          <w:rFonts w:hint="eastAsia" w:ascii="微软雅黑" w:hAnsi="微软雅黑" w:eastAsia="微软雅黑" w:cs="微软雅黑"/>
          <w:sz w:val="21"/>
          <w:szCs w:val="21"/>
          <w:lang w:eastAsia="zh-CN"/>
        </w:rPr>
        <w:t>中国</w:t>
      </w:r>
      <w:r>
        <w:rPr>
          <w:rFonts w:hint="eastAsia" w:ascii="微软雅黑" w:hAnsi="微软雅黑" w:eastAsia="微软雅黑" w:cs="微软雅黑"/>
          <w:bCs/>
          <w:sz w:val="21"/>
          <w:szCs w:val="21"/>
        </w:rPr>
        <w:t>注册成立，</w:t>
      </w:r>
      <w:r>
        <w:rPr>
          <w:rFonts w:hint="eastAsia" w:ascii="微软雅黑" w:hAnsi="微软雅黑" w:eastAsia="微软雅黑" w:cs="微软雅黑"/>
          <w:bCs/>
          <w:sz w:val="21"/>
          <w:szCs w:val="21"/>
          <w:highlight w:val="none"/>
        </w:rPr>
        <w:t>是小桔快智公司（</w:t>
      </w:r>
      <w:r>
        <w:rPr>
          <w:rFonts w:hint="eastAsia" w:ascii="微软雅黑" w:hAnsi="微软雅黑" w:eastAsia="微软雅黑" w:cs="微软雅黑"/>
          <w:bCs/>
          <w:sz w:val="21"/>
          <w:szCs w:val="21"/>
          <w:highlight w:val="none"/>
        </w:rPr>
        <w:t>Xiaoju Kuaizhi Inc.</w:t>
      </w:r>
      <w:r>
        <w:rPr>
          <w:rFonts w:hint="eastAsia" w:ascii="微软雅黑" w:hAnsi="微软雅黑" w:eastAsia="微软雅黑" w:cs="微软雅黑"/>
          <w:bCs/>
          <w:sz w:val="21"/>
          <w:szCs w:val="21"/>
          <w:highlight w:val="none"/>
          <w:lang w:eastAsia="zh-CN"/>
        </w:rPr>
        <w:t>，</w:t>
      </w:r>
      <w:r>
        <w:rPr>
          <w:rFonts w:hint="eastAsia" w:ascii="微软雅黑" w:hAnsi="微软雅黑" w:eastAsia="微软雅黑" w:cs="微软雅黑"/>
          <w:bCs/>
          <w:sz w:val="21"/>
          <w:szCs w:val="21"/>
          <w:highlight w:val="none"/>
        </w:rPr>
        <w:t>以下简称滴滴）</w:t>
      </w:r>
      <w:r>
        <w:rPr>
          <w:rFonts w:hint="eastAsia" w:ascii="微软雅黑" w:hAnsi="微软雅黑" w:eastAsia="微软雅黑" w:cs="微软雅黑"/>
          <w:bCs/>
          <w:sz w:val="21"/>
          <w:szCs w:val="21"/>
          <w:highlight w:val="none"/>
          <w:lang w:eastAsia="zh-CN"/>
        </w:rPr>
        <w:t>间接控制的全资</w:t>
      </w:r>
      <w:r>
        <w:rPr>
          <w:rFonts w:hint="eastAsia" w:ascii="微软雅黑" w:hAnsi="微软雅黑" w:eastAsia="微软雅黑" w:cs="微软雅黑"/>
          <w:bCs/>
          <w:sz w:val="21"/>
          <w:szCs w:val="21"/>
          <w:highlight w:val="none"/>
        </w:rPr>
        <w:t>子公司</w:t>
      </w:r>
      <w:r>
        <w:rPr>
          <w:rFonts w:hint="eastAsia" w:ascii="微软雅黑" w:hAnsi="微软雅黑" w:eastAsia="微软雅黑" w:cs="微软雅黑"/>
          <w:bCs/>
          <w:sz w:val="21"/>
          <w:szCs w:val="21"/>
        </w:rPr>
        <w:t>。</w:t>
      </w:r>
      <w:r>
        <w:rPr>
          <w:rFonts w:hint="eastAsia" w:ascii="微软雅黑" w:hAnsi="微软雅黑" w:eastAsia="微软雅黑" w:cs="微软雅黑"/>
          <w:bCs/>
          <w:sz w:val="21"/>
          <w:szCs w:val="21"/>
          <w:lang w:eastAsia="zh-CN"/>
        </w:rPr>
        <w:t>惠迪天津</w:t>
      </w:r>
      <w:r>
        <w:rPr>
          <w:rFonts w:hint="eastAsia" w:ascii="微软雅黑" w:hAnsi="微软雅黑" w:eastAsia="微软雅黑" w:cs="微软雅黑"/>
          <w:bCs/>
          <w:sz w:val="21"/>
          <w:szCs w:val="21"/>
        </w:rPr>
        <w:t>主要</w:t>
      </w:r>
      <w:r>
        <w:rPr>
          <w:rFonts w:hint="eastAsia" w:ascii="微软雅黑" w:hAnsi="微软雅黑" w:eastAsia="微软雅黑" w:cs="微软雅黑"/>
          <w:bCs/>
          <w:sz w:val="21"/>
          <w:szCs w:val="21"/>
          <w:lang w:eastAsia="zh-CN"/>
        </w:rPr>
        <w:t>在中国境内</w:t>
      </w:r>
      <w:r>
        <w:rPr>
          <w:rFonts w:hint="eastAsia" w:ascii="微软雅黑" w:hAnsi="微软雅黑" w:eastAsia="微软雅黑" w:cs="微软雅黑"/>
          <w:bCs/>
          <w:sz w:val="21"/>
          <w:szCs w:val="21"/>
        </w:rPr>
        <w:t>从事汽车租赁业务，滴滴主要</w:t>
      </w:r>
      <w:r>
        <w:rPr>
          <w:rFonts w:hint="eastAsia" w:ascii="微软雅黑" w:hAnsi="微软雅黑" w:eastAsia="微软雅黑" w:cs="微软雅黑"/>
          <w:bCs/>
          <w:sz w:val="21"/>
          <w:szCs w:val="21"/>
          <w:lang w:eastAsia="zh-CN"/>
        </w:rPr>
        <w:t>在中国境内</w:t>
      </w:r>
      <w:r>
        <w:rPr>
          <w:rFonts w:hint="eastAsia" w:ascii="微软雅黑" w:hAnsi="微软雅黑" w:eastAsia="微软雅黑" w:cs="微软雅黑"/>
          <w:bCs/>
          <w:sz w:val="21"/>
          <w:szCs w:val="21"/>
        </w:rPr>
        <w:t>从事网络预约出租车服务。</w:t>
      </w:r>
      <w:r>
        <w:rPr>
          <w:rFonts w:hint="eastAsia" w:ascii="微软雅黑" w:hAnsi="微软雅黑" w:eastAsia="微软雅黑" w:cs="微软雅黑"/>
          <w:bCs/>
          <w:sz w:val="21"/>
          <w:szCs w:val="21"/>
        </w:rPr>
        <w:t>201</w:t>
      </w:r>
      <w:r>
        <w:rPr>
          <w:rFonts w:hint="eastAsia" w:ascii="微软雅黑" w:hAnsi="微软雅黑" w:eastAsia="微软雅黑" w:cs="微软雅黑"/>
          <w:bCs/>
          <w:sz w:val="21"/>
          <w:szCs w:val="21"/>
          <w:lang w:val="en-US" w:eastAsia="zh-CN"/>
        </w:rPr>
        <w:t>7</w:t>
      </w:r>
      <w:r>
        <w:rPr>
          <w:rFonts w:hint="eastAsia" w:ascii="微软雅黑" w:hAnsi="微软雅黑" w:eastAsia="微软雅黑" w:cs="微软雅黑"/>
          <w:bCs/>
          <w:sz w:val="21"/>
          <w:szCs w:val="21"/>
        </w:rPr>
        <w:t>年全球营业额为</w:t>
      </w:r>
      <w:r>
        <w:rPr>
          <w:rFonts w:hint="eastAsia" w:ascii="微软雅黑" w:hAnsi="微软雅黑" w:eastAsia="微软雅黑" w:cs="微软雅黑"/>
          <w:bCs/>
          <w:sz w:val="21"/>
          <w:szCs w:val="21"/>
          <w:lang w:val="en-US" w:eastAsia="zh-CN"/>
        </w:rPr>
        <w:t>（略）</w:t>
      </w:r>
      <w:r>
        <w:rPr>
          <w:rFonts w:hint="eastAsia" w:ascii="微软雅黑" w:hAnsi="微软雅黑" w:eastAsia="微软雅黑" w:cs="微软雅黑"/>
          <w:bCs/>
          <w:sz w:val="21"/>
          <w:szCs w:val="21"/>
        </w:rPr>
        <w:t>人民币（币种下同），中国境内营业额为</w:t>
      </w:r>
      <w:r>
        <w:rPr>
          <w:rFonts w:hint="eastAsia" w:ascii="微软雅黑" w:hAnsi="微软雅黑" w:eastAsia="微软雅黑" w:cs="微软雅黑"/>
          <w:bCs/>
          <w:sz w:val="21"/>
          <w:szCs w:val="21"/>
          <w:lang w:val="en-US" w:eastAsia="zh-CN"/>
        </w:rPr>
        <w:t>（略）</w:t>
      </w:r>
      <w:r>
        <w:rPr>
          <w:rFonts w:hint="eastAsia" w:ascii="微软雅黑" w:hAnsi="微软雅黑" w:eastAsia="微软雅黑" w:cs="微软雅黑"/>
          <w:bCs/>
          <w:sz w:val="21"/>
          <w:szCs w:val="21"/>
        </w:rPr>
        <w:t>。</w:t>
      </w:r>
    </w:p>
    <w:p>
      <w:pPr>
        <w:pStyle w:val="11"/>
        <w:keepNext w:val="0"/>
        <w:keepLines w:val="0"/>
        <w:pageBreakBefore w:val="0"/>
        <w:widowControl w:val="0"/>
        <w:kinsoku/>
        <w:wordWrap/>
        <w:overflowPunct w:val="0"/>
        <w:topLinePunct w:val="0"/>
        <w:autoSpaceDE w:val="0"/>
        <w:autoSpaceDN w:val="0"/>
        <w:bidi w:val="0"/>
        <w:adjustRightInd/>
        <w:snapToGrid/>
        <w:spacing w:line="240" w:lineRule="auto"/>
        <w:ind w:firstLine="630"/>
        <w:textAlignment w:val="auto"/>
        <w:outlineLvl w:val="9"/>
        <w:rPr>
          <w:rFonts w:hint="eastAsia" w:ascii="微软雅黑" w:hAnsi="微软雅黑" w:eastAsia="微软雅黑" w:cs="微软雅黑"/>
          <w:bCs/>
          <w:sz w:val="21"/>
          <w:szCs w:val="21"/>
        </w:rPr>
      </w:pPr>
      <w:r>
        <w:rPr>
          <w:rFonts w:hint="eastAsia" w:ascii="微软雅黑" w:hAnsi="微软雅黑" w:eastAsia="微软雅黑" w:cs="微软雅黑"/>
          <w:b/>
          <w:sz w:val="21"/>
          <w:szCs w:val="21"/>
        </w:rPr>
        <w:t>合营方</w:t>
      </w:r>
      <w:r>
        <w:rPr>
          <w:rFonts w:hint="eastAsia" w:ascii="微软雅黑" w:hAnsi="微软雅黑" w:eastAsia="微软雅黑" w:cs="微软雅黑"/>
          <w:b/>
          <w:sz w:val="21"/>
          <w:szCs w:val="21"/>
          <w:lang w:eastAsia="zh-CN"/>
        </w:rPr>
        <w:t>二</w:t>
      </w:r>
      <w:r>
        <w:rPr>
          <w:rFonts w:hint="eastAsia" w:ascii="微软雅黑" w:hAnsi="微软雅黑" w:eastAsia="微软雅黑" w:cs="微软雅黑"/>
          <w:b/>
          <w:sz w:val="21"/>
          <w:szCs w:val="21"/>
        </w:rPr>
        <w:t>：</w:t>
      </w:r>
      <w:r>
        <w:rPr>
          <w:rFonts w:hint="eastAsia" w:ascii="微软雅黑" w:hAnsi="微软雅黑" w:eastAsia="微软雅黑" w:cs="微软雅黑"/>
          <w:b/>
          <w:sz w:val="21"/>
          <w:szCs w:val="21"/>
          <w:lang w:eastAsia="zh-CN"/>
        </w:rPr>
        <w:t>特来电</w:t>
      </w:r>
      <w:r>
        <w:rPr>
          <w:rFonts w:hint="eastAsia" w:ascii="微软雅黑" w:hAnsi="微软雅黑" w:eastAsia="微软雅黑" w:cs="微软雅黑"/>
          <w:bCs/>
          <w:sz w:val="21"/>
          <w:szCs w:val="21"/>
        </w:rPr>
        <w:t>。</w:t>
      </w:r>
      <w:r>
        <w:rPr>
          <w:rFonts w:hint="eastAsia" w:ascii="微软雅黑" w:hAnsi="微软雅黑" w:eastAsia="微软雅黑" w:cs="微软雅黑"/>
          <w:bCs/>
          <w:sz w:val="21"/>
          <w:szCs w:val="21"/>
          <w:lang w:val="en-US" w:eastAsia="zh-CN"/>
        </w:rPr>
        <w:t>2014</w:t>
      </w:r>
      <w:r>
        <w:rPr>
          <w:rFonts w:hint="eastAsia" w:ascii="微软雅黑" w:hAnsi="微软雅黑" w:eastAsia="微软雅黑" w:cs="微软雅黑"/>
          <w:bCs/>
          <w:sz w:val="21"/>
          <w:szCs w:val="21"/>
        </w:rPr>
        <w:t>年</w:t>
      </w:r>
      <w:r>
        <w:rPr>
          <w:rFonts w:hint="eastAsia" w:ascii="微软雅黑" w:hAnsi="微软雅黑" w:eastAsia="微软雅黑" w:cs="微软雅黑"/>
          <w:bCs/>
          <w:sz w:val="21"/>
          <w:szCs w:val="21"/>
        </w:rPr>
        <w:t>在</w:t>
      </w:r>
      <w:r>
        <w:rPr>
          <w:rFonts w:hint="eastAsia" w:ascii="微软雅黑" w:hAnsi="微软雅黑" w:eastAsia="微软雅黑" w:cs="微软雅黑"/>
          <w:bCs/>
          <w:sz w:val="21"/>
          <w:szCs w:val="21"/>
          <w:lang w:eastAsia="zh-CN"/>
        </w:rPr>
        <w:t>中国</w:t>
      </w:r>
      <w:r>
        <w:rPr>
          <w:rFonts w:hint="eastAsia" w:ascii="微软雅黑" w:hAnsi="微软雅黑" w:eastAsia="微软雅黑" w:cs="微软雅黑"/>
          <w:bCs/>
          <w:sz w:val="21"/>
          <w:szCs w:val="21"/>
        </w:rPr>
        <w:t>注册成立，</w:t>
      </w:r>
      <w:r>
        <w:rPr>
          <w:rFonts w:hint="eastAsia" w:ascii="微软雅黑" w:hAnsi="微软雅黑" w:eastAsia="微软雅黑" w:cs="微软雅黑"/>
          <w:bCs/>
          <w:sz w:val="21"/>
          <w:szCs w:val="21"/>
          <w:lang w:eastAsia="zh-CN"/>
        </w:rPr>
        <w:t>注册</w:t>
      </w:r>
      <w:r>
        <w:rPr>
          <w:rFonts w:hint="eastAsia" w:ascii="微软雅黑" w:hAnsi="微软雅黑" w:eastAsia="微软雅黑" w:cs="微软雅黑"/>
          <w:sz w:val="21"/>
          <w:szCs w:val="21"/>
        </w:rPr>
        <w:t>名称为“青岛特来电新能源有限公司”</w:t>
      </w:r>
      <w:r>
        <w:rPr>
          <w:rFonts w:hint="eastAsia" w:ascii="微软雅黑" w:hAnsi="微软雅黑" w:eastAsia="微软雅黑" w:cs="微软雅黑"/>
          <w:sz w:val="21"/>
          <w:szCs w:val="21"/>
          <w:lang w:eastAsia="zh-CN"/>
        </w:rPr>
        <w:t>，</w:t>
      </w:r>
      <w:r>
        <w:rPr>
          <w:rFonts w:hint="eastAsia" w:ascii="微软雅黑" w:hAnsi="微软雅黑" w:eastAsia="微软雅黑" w:cs="微软雅黑"/>
          <w:bCs/>
          <w:sz w:val="21"/>
          <w:szCs w:val="21"/>
          <w:lang w:val="en-US" w:eastAsia="zh-CN"/>
        </w:rPr>
        <w:t>2020</w:t>
      </w:r>
      <w:r>
        <w:rPr>
          <w:rFonts w:hint="eastAsia" w:ascii="微软雅黑" w:hAnsi="微软雅黑" w:eastAsia="微软雅黑" w:cs="微软雅黑"/>
          <w:sz w:val="21"/>
          <w:szCs w:val="21"/>
          <w:lang w:val="en-US" w:eastAsia="zh-CN"/>
        </w:rPr>
        <w:t>年更名为“特来电新能源股份有限公司”</w:t>
      </w:r>
      <w:r>
        <w:rPr>
          <w:rFonts w:hint="eastAsia" w:ascii="微软雅黑" w:hAnsi="微软雅黑" w:eastAsia="微软雅黑" w:cs="微软雅黑"/>
          <w:bCs/>
          <w:sz w:val="21"/>
          <w:szCs w:val="21"/>
        </w:rPr>
        <w:t>。</w:t>
      </w:r>
      <w:r>
        <w:rPr>
          <w:rFonts w:hint="eastAsia" w:ascii="微软雅黑" w:hAnsi="微软雅黑" w:eastAsia="微软雅黑" w:cs="微软雅黑"/>
          <w:bCs/>
          <w:sz w:val="21"/>
          <w:szCs w:val="21"/>
          <w:lang w:eastAsia="zh-CN"/>
        </w:rPr>
        <w:t>特来电</w:t>
      </w:r>
      <w:r>
        <w:rPr>
          <w:rFonts w:hint="eastAsia" w:ascii="微软雅黑" w:hAnsi="微软雅黑" w:eastAsia="微软雅黑" w:cs="微软雅黑"/>
          <w:bCs/>
          <w:sz w:val="21"/>
          <w:szCs w:val="21"/>
        </w:rPr>
        <w:t>主要</w:t>
      </w:r>
      <w:r>
        <w:rPr>
          <w:rFonts w:hint="eastAsia" w:ascii="微软雅黑" w:hAnsi="微软雅黑" w:eastAsia="微软雅黑" w:cs="微软雅黑"/>
          <w:bCs/>
          <w:sz w:val="21"/>
          <w:szCs w:val="21"/>
          <w:lang w:eastAsia="zh-CN"/>
        </w:rPr>
        <w:t>从事</w:t>
      </w:r>
      <w:r>
        <w:rPr>
          <w:rFonts w:hint="eastAsia" w:ascii="微软雅黑" w:hAnsi="微软雅黑" w:eastAsia="微软雅黑" w:cs="微软雅黑"/>
          <w:bCs/>
          <w:sz w:val="21"/>
          <w:szCs w:val="21"/>
        </w:rPr>
        <w:t>电动汽车充电桩</w:t>
      </w:r>
      <w:r>
        <w:rPr>
          <w:rFonts w:hint="eastAsia" w:ascii="微软雅黑" w:hAnsi="微软雅黑" w:eastAsia="微软雅黑" w:cs="微软雅黑"/>
          <w:bCs/>
          <w:sz w:val="21"/>
          <w:szCs w:val="21"/>
          <w:lang w:eastAsia="zh-CN"/>
        </w:rPr>
        <w:t>生产、销售以及电动汽车充电服务</w:t>
      </w:r>
      <w:r>
        <w:rPr>
          <w:rFonts w:hint="eastAsia" w:ascii="微软雅黑" w:hAnsi="微软雅黑" w:eastAsia="微软雅黑" w:cs="微软雅黑"/>
          <w:bCs/>
          <w:sz w:val="21"/>
          <w:szCs w:val="21"/>
        </w:rPr>
        <w:t>。201</w:t>
      </w:r>
      <w:r>
        <w:rPr>
          <w:rFonts w:hint="eastAsia" w:ascii="微软雅黑" w:hAnsi="微软雅黑" w:eastAsia="微软雅黑" w:cs="微软雅黑"/>
          <w:bCs/>
          <w:sz w:val="21"/>
          <w:szCs w:val="21"/>
          <w:lang w:val="en-US" w:eastAsia="zh-CN"/>
        </w:rPr>
        <w:t>7</w:t>
      </w:r>
      <w:r>
        <w:rPr>
          <w:rFonts w:hint="eastAsia" w:ascii="微软雅黑" w:hAnsi="微软雅黑" w:eastAsia="微软雅黑" w:cs="微软雅黑"/>
          <w:bCs/>
          <w:sz w:val="21"/>
          <w:szCs w:val="21"/>
        </w:rPr>
        <w:t>年全球</w:t>
      </w:r>
      <w:r>
        <w:rPr>
          <w:rFonts w:hint="eastAsia" w:ascii="微软雅黑" w:hAnsi="微软雅黑" w:eastAsia="微软雅黑" w:cs="微软雅黑"/>
          <w:bCs/>
          <w:sz w:val="21"/>
          <w:szCs w:val="21"/>
          <w:lang w:eastAsia="zh-CN"/>
        </w:rPr>
        <w:t>和</w:t>
      </w:r>
      <w:r>
        <w:rPr>
          <w:rFonts w:hint="eastAsia" w:ascii="微软雅黑" w:hAnsi="微软雅黑" w:eastAsia="微软雅黑" w:cs="微软雅黑"/>
          <w:bCs/>
          <w:sz w:val="21"/>
          <w:szCs w:val="21"/>
        </w:rPr>
        <w:t>中国境内营业额</w:t>
      </w:r>
      <w:r>
        <w:rPr>
          <w:rFonts w:hint="eastAsia" w:ascii="微软雅黑" w:hAnsi="微软雅黑" w:eastAsia="微软雅黑" w:cs="微软雅黑"/>
          <w:bCs/>
          <w:sz w:val="21"/>
          <w:szCs w:val="21"/>
          <w:lang w:eastAsia="zh-CN"/>
        </w:rPr>
        <w:t>均</w:t>
      </w:r>
      <w:r>
        <w:rPr>
          <w:rFonts w:hint="eastAsia" w:ascii="微软雅黑" w:hAnsi="微软雅黑" w:eastAsia="微软雅黑" w:cs="微软雅黑"/>
          <w:bCs/>
          <w:sz w:val="21"/>
          <w:szCs w:val="21"/>
        </w:rPr>
        <w:t>为</w:t>
      </w:r>
      <w:r>
        <w:rPr>
          <w:rFonts w:hint="eastAsia" w:ascii="微软雅黑" w:hAnsi="微软雅黑" w:eastAsia="微软雅黑" w:cs="微软雅黑"/>
          <w:bCs/>
          <w:sz w:val="21"/>
          <w:szCs w:val="21"/>
          <w:lang w:val="en-US" w:eastAsia="zh-CN"/>
        </w:rPr>
        <w:t>（略）</w:t>
      </w:r>
      <w:r>
        <w:rPr>
          <w:rFonts w:hint="eastAsia" w:ascii="微软雅黑" w:hAnsi="微软雅黑" w:eastAsia="微软雅黑" w:cs="微软雅黑"/>
          <w:bCs/>
          <w:sz w:val="21"/>
          <w:szCs w:val="21"/>
        </w:rPr>
        <w:t>。</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408" w:firstLineChars="200"/>
        <w:textAlignment w:val="auto"/>
        <w:outlineLvl w:val="9"/>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（二）交易概况。</w:t>
      </w:r>
    </w:p>
    <w:p>
      <w:pPr>
        <w:keepNext w:val="0"/>
        <w:keepLines w:val="0"/>
        <w:pageBreakBefore w:val="0"/>
        <w:widowControl w:val="0"/>
        <w:kinsoku/>
        <w:wordWrap/>
        <w:topLinePunct w:val="0"/>
        <w:bidi w:val="0"/>
        <w:adjustRightInd/>
        <w:snapToGrid/>
        <w:spacing w:line="240" w:lineRule="auto"/>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本交易系设立合</w:t>
      </w:r>
      <w:r>
        <w:rPr>
          <w:rFonts w:hint="eastAsia" w:ascii="微软雅黑" w:hAnsi="微软雅黑" w:eastAsia="微软雅黑" w:cs="微软雅黑"/>
          <w:sz w:val="21"/>
          <w:szCs w:val="21"/>
        </w:rPr>
        <w:t>营企业。201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月2</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日，</w:t>
      </w:r>
      <w:r>
        <w:rPr>
          <w:rFonts w:hint="eastAsia" w:ascii="微软雅黑" w:hAnsi="微软雅黑" w:eastAsia="微软雅黑" w:cs="微软雅黑"/>
          <w:sz w:val="21"/>
          <w:szCs w:val="21"/>
          <w:lang w:eastAsia="zh-CN"/>
        </w:rPr>
        <w:t>惠迪天津与特来电</w:t>
      </w:r>
      <w:r>
        <w:rPr>
          <w:rFonts w:hint="eastAsia" w:ascii="微软雅黑" w:hAnsi="微软雅黑" w:eastAsia="微软雅黑" w:cs="微软雅黑"/>
          <w:sz w:val="21"/>
          <w:szCs w:val="21"/>
        </w:rPr>
        <w:t>签署协议，</w:t>
      </w:r>
      <w:r>
        <w:rPr>
          <w:rFonts w:hint="eastAsia" w:ascii="微软雅黑" w:hAnsi="微软雅黑" w:eastAsia="微软雅黑" w:cs="微软雅黑"/>
          <w:sz w:val="21"/>
          <w:szCs w:val="21"/>
        </w:rPr>
        <w:t>出资</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sz w:val="21"/>
          <w:szCs w:val="21"/>
        </w:rPr>
        <w:t>设立合营企业</w:t>
      </w:r>
      <w:r>
        <w:rPr>
          <w:rFonts w:hint="eastAsia" w:ascii="微软雅黑" w:hAnsi="微软雅黑" w:eastAsia="微软雅黑" w:cs="微软雅黑"/>
          <w:sz w:val="21"/>
          <w:szCs w:val="21"/>
        </w:rPr>
        <w:t>小桔特来电（青岛）新能源有限公司（以下简称合营企业）</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惠迪天津</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特来电</w:t>
      </w:r>
      <w:r>
        <w:rPr>
          <w:rFonts w:hint="eastAsia" w:ascii="微软雅黑" w:hAnsi="微软雅黑" w:eastAsia="微软雅黑" w:cs="微软雅黑"/>
          <w:sz w:val="21"/>
          <w:szCs w:val="21"/>
        </w:rPr>
        <w:t>分别持股</w:t>
      </w:r>
      <w:r>
        <w:rPr>
          <w:rFonts w:hint="eastAsia" w:ascii="微软雅黑" w:hAnsi="微软雅黑" w:eastAsia="微软雅黑" w:cs="微软雅黑"/>
          <w:sz w:val="21"/>
          <w:szCs w:val="21"/>
          <w:lang w:val="en-US" w:eastAsia="zh-CN"/>
        </w:rPr>
        <w:t>60</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40%</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201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16</w:t>
      </w:r>
      <w:r>
        <w:rPr>
          <w:rFonts w:hint="eastAsia" w:ascii="微软雅黑" w:hAnsi="微软雅黑" w:eastAsia="微软雅黑" w:cs="微软雅黑"/>
          <w:sz w:val="21"/>
          <w:szCs w:val="21"/>
        </w:rPr>
        <w:t>日，合营企业</w:t>
      </w:r>
      <w:r>
        <w:rPr>
          <w:rFonts w:hint="eastAsia" w:ascii="微软雅黑" w:hAnsi="微软雅黑" w:eastAsia="微软雅黑" w:cs="微软雅黑"/>
          <w:sz w:val="21"/>
          <w:szCs w:val="21"/>
          <w:lang w:eastAsia="zh-CN"/>
        </w:rPr>
        <w:t>取得营业执照，开展市场运营</w:t>
      </w:r>
      <w:r>
        <w:rPr>
          <w:rFonts w:hint="eastAsia" w:ascii="微软雅黑" w:hAnsi="微软雅黑" w:eastAsia="微软雅黑" w:cs="微软雅黑"/>
          <w:sz w:val="21"/>
          <w:szCs w:val="21"/>
        </w:rPr>
        <w:t>。</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二、违法事实及理由</w:t>
      </w:r>
    </w:p>
    <w:p>
      <w:pPr>
        <w:keepNext w:val="0"/>
        <w:keepLines w:val="0"/>
        <w:pageBreakBefore w:val="0"/>
        <w:widowControl w:val="0"/>
        <w:kinsoku/>
        <w:wordWrap/>
        <w:topLinePunct w:val="0"/>
        <w:bidi w:val="0"/>
        <w:adjustRightInd/>
        <w:snapToGrid/>
        <w:spacing w:line="240" w:lineRule="auto"/>
        <w:ind w:firstLine="408" w:firstLineChars="200"/>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（一）本案构成</w:t>
      </w:r>
      <w:r>
        <w:rPr>
          <w:rFonts w:hint="eastAsia" w:ascii="微软雅黑" w:hAnsi="微软雅黑" w:eastAsia="微软雅黑" w:cs="微软雅黑"/>
          <w:sz w:val="21"/>
          <w:szCs w:val="21"/>
        </w:rPr>
        <w:t>违法</w:t>
      </w:r>
      <w:r>
        <w:rPr>
          <w:rFonts w:hint="eastAsia" w:ascii="微软雅黑" w:hAnsi="微软雅黑" w:eastAsia="微软雅黑" w:cs="微软雅黑"/>
          <w:sz w:val="21"/>
          <w:szCs w:val="21"/>
        </w:rPr>
        <w:t>实施的经营者集中。</w:t>
      </w:r>
    </w:p>
    <w:p>
      <w:pPr>
        <w:keepNext w:val="0"/>
        <w:keepLines w:val="0"/>
        <w:pageBreakBefore w:val="0"/>
        <w:widowControl w:val="0"/>
        <w:kinsoku/>
        <w:wordWrap/>
        <w:topLinePunct w:val="0"/>
        <w:bidi w:val="0"/>
        <w:adjustRightInd/>
        <w:snapToGrid/>
        <w:spacing w:line="240" w:lineRule="auto"/>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反垄断法》第二十条规定“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0" w:name="OLE_LINK48"/>
      <w:r>
        <w:rPr>
          <w:rFonts w:hint="eastAsia" w:ascii="微软雅黑" w:hAnsi="微软雅黑" w:eastAsia="微软雅黑" w:cs="微软雅黑"/>
          <w:sz w:val="21"/>
          <w:szCs w:val="21"/>
          <w:lang w:eastAsia="zh-CN"/>
        </w:rPr>
        <w:t>惠迪天津</w:t>
      </w:r>
      <w:r>
        <w:rPr>
          <w:rFonts w:hint="eastAsia" w:ascii="微软雅黑" w:hAnsi="微软雅黑" w:eastAsia="微软雅黑" w:cs="微软雅黑"/>
          <w:sz w:val="21"/>
          <w:szCs w:val="21"/>
        </w:rPr>
        <w:t>与</w:t>
      </w:r>
      <w:r>
        <w:rPr>
          <w:rFonts w:hint="eastAsia" w:ascii="微软雅黑" w:hAnsi="微软雅黑" w:eastAsia="微软雅黑" w:cs="微软雅黑"/>
          <w:sz w:val="21"/>
          <w:szCs w:val="21"/>
          <w:lang w:eastAsia="zh-CN"/>
        </w:rPr>
        <w:t>特来电</w:t>
      </w:r>
      <w:r>
        <w:rPr>
          <w:rFonts w:hint="eastAsia" w:ascii="微软雅黑" w:hAnsi="微软雅黑" w:eastAsia="微软雅黑" w:cs="微软雅黑"/>
          <w:sz w:val="21"/>
          <w:szCs w:val="21"/>
        </w:rPr>
        <w:t>设立合营企业并实施共同控制，</w:t>
      </w:r>
      <w:r>
        <w:rPr>
          <w:rFonts w:hint="eastAsia" w:ascii="微软雅黑" w:hAnsi="微软雅黑" w:eastAsia="微软雅黑" w:cs="微软雅黑"/>
          <w:sz w:val="21"/>
          <w:szCs w:val="21"/>
        </w:rPr>
        <w:t>属于《反垄断法》第二十条规定的经营者集中。</w:t>
      </w:r>
      <w:bookmarkEnd w:id="0"/>
    </w:p>
    <w:p>
      <w:pPr>
        <w:keepNext w:val="0"/>
        <w:keepLines w:val="0"/>
        <w:pageBreakBefore w:val="0"/>
        <w:widowControl w:val="0"/>
        <w:kinsoku/>
        <w:wordWrap/>
        <w:topLinePunct w:val="0"/>
        <w:bidi w:val="0"/>
        <w:adjustRightInd/>
        <w:snapToGrid/>
        <w:spacing w:line="240" w:lineRule="auto"/>
        <w:ind w:firstLine="408" w:firstLineChars="200"/>
        <w:textAlignment w:val="auto"/>
        <w:rPr>
          <w:rFonts w:hint="eastAsia" w:ascii="微软雅黑" w:hAnsi="微软雅黑" w:eastAsia="微软雅黑" w:cs="微软雅黑"/>
          <w:sz w:val="21"/>
          <w:szCs w:val="21"/>
        </w:rPr>
      </w:pPr>
      <w:bookmarkStart w:id="1" w:name="OLE_LINK49"/>
      <w:r>
        <w:rPr>
          <w:rFonts w:hint="eastAsia" w:ascii="微软雅黑" w:hAnsi="微软雅黑" w:eastAsia="微软雅黑" w:cs="微软雅黑"/>
          <w:bCs/>
          <w:sz w:val="21"/>
          <w:szCs w:val="21"/>
          <w:lang w:eastAsia="zh-CN"/>
        </w:rPr>
        <w:t>惠迪天津</w:t>
      </w:r>
      <w:r>
        <w:rPr>
          <w:rFonts w:hint="eastAsia" w:ascii="微软雅黑" w:hAnsi="微软雅黑" w:eastAsia="微软雅黑" w:cs="微软雅黑"/>
          <w:bCs/>
          <w:sz w:val="21"/>
          <w:szCs w:val="21"/>
        </w:rPr>
        <w:t>201</w:t>
      </w:r>
      <w:r>
        <w:rPr>
          <w:rFonts w:hint="eastAsia" w:ascii="微软雅黑" w:hAnsi="微软雅黑" w:eastAsia="微软雅黑" w:cs="微软雅黑"/>
          <w:bCs/>
          <w:sz w:val="21"/>
          <w:szCs w:val="21"/>
          <w:lang w:val="en-US" w:eastAsia="zh-CN"/>
        </w:rPr>
        <w:t>7</w:t>
      </w:r>
      <w:r>
        <w:rPr>
          <w:rFonts w:hint="eastAsia" w:ascii="微软雅黑" w:hAnsi="微软雅黑" w:eastAsia="微软雅黑" w:cs="微软雅黑"/>
          <w:bCs/>
          <w:sz w:val="21"/>
          <w:szCs w:val="21"/>
        </w:rPr>
        <w:t>年全球营业额为</w:t>
      </w:r>
      <w:r>
        <w:rPr>
          <w:rFonts w:hint="eastAsia" w:ascii="微软雅黑" w:hAnsi="微软雅黑" w:eastAsia="微软雅黑" w:cs="微软雅黑"/>
          <w:bCs/>
          <w:sz w:val="21"/>
          <w:szCs w:val="21"/>
          <w:lang w:val="en-US" w:eastAsia="zh-CN"/>
        </w:rPr>
        <w:t>（略）</w:t>
      </w:r>
      <w:r>
        <w:rPr>
          <w:rFonts w:hint="eastAsia" w:ascii="微软雅黑" w:hAnsi="微软雅黑" w:eastAsia="微软雅黑" w:cs="微软雅黑"/>
          <w:bCs/>
          <w:sz w:val="21"/>
          <w:szCs w:val="21"/>
        </w:rPr>
        <w:t>，中国境内营业额为</w:t>
      </w:r>
      <w:r>
        <w:rPr>
          <w:rFonts w:hint="eastAsia" w:ascii="微软雅黑" w:hAnsi="微软雅黑" w:eastAsia="微软雅黑" w:cs="微软雅黑"/>
          <w:bCs/>
          <w:sz w:val="21"/>
          <w:szCs w:val="21"/>
          <w:lang w:val="en-US" w:eastAsia="zh-CN"/>
        </w:rPr>
        <w:t>（略）</w:t>
      </w:r>
      <w:r>
        <w:rPr>
          <w:rFonts w:hint="eastAsia" w:ascii="微软雅黑" w:hAnsi="微软雅黑" w:eastAsia="微软雅黑" w:cs="微软雅黑"/>
          <w:bCs/>
          <w:sz w:val="21"/>
          <w:szCs w:val="21"/>
        </w:rPr>
        <w:t>；</w:t>
      </w:r>
      <w:r>
        <w:rPr>
          <w:rFonts w:hint="eastAsia" w:ascii="微软雅黑" w:hAnsi="微软雅黑" w:eastAsia="微软雅黑" w:cs="微软雅黑"/>
          <w:bCs/>
          <w:sz w:val="21"/>
          <w:szCs w:val="21"/>
          <w:lang w:eastAsia="zh-CN"/>
        </w:rPr>
        <w:t>特来电</w:t>
      </w:r>
      <w:r>
        <w:rPr>
          <w:rFonts w:hint="eastAsia" w:ascii="微软雅黑" w:hAnsi="微软雅黑" w:eastAsia="微软雅黑" w:cs="微软雅黑"/>
          <w:bCs/>
          <w:sz w:val="21"/>
          <w:szCs w:val="21"/>
        </w:rPr>
        <w:t>201</w:t>
      </w:r>
      <w:r>
        <w:rPr>
          <w:rFonts w:hint="eastAsia" w:ascii="微软雅黑" w:hAnsi="微软雅黑" w:eastAsia="微软雅黑" w:cs="微软雅黑"/>
          <w:bCs/>
          <w:sz w:val="21"/>
          <w:szCs w:val="21"/>
          <w:lang w:val="en-US" w:eastAsia="zh-CN"/>
        </w:rPr>
        <w:t>7</w:t>
      </w:r>
      <w:r>
        <w:rPr>
          <w:rFonts w:hint="eastAsia" w:ascii="微软雅黑" w:hAnsi="微软雅黑" w:eastAsia="微软雅黑" w:cs="微软雅黑"/>
          <w:bCs/>
          <w:sz w:val="21"/>
          <w:szCs w:val="21"/>
        </w:rPr>
        <w:t>年全球</w:t>
      </w:r>
      <w:r>
        <w:rPr>
          <w:rFonts w:hint="eastAsia" w:ascii="微软雅黑" w:hAnsi="微软雅黑" w:eastAsia="微软雅黑" w:cs="微软雅黑"/>
          <w:bCs/>
          <w:sz w:val="21"/>
          <w:szCs w:val="21"/>
          <w:lang w:eastAsia="zh-CN"/>
        </w:rPr>
        <w:t>和</w:t>
      </w:r>
      <w:r>
        <w:rPr>
          <w:rFonts w:hint="eastAsia" w:ascii="微软雅黑" w:hAnsi="微软雅黑" w:eastAsia="微软雅黑" w:cs="微软雅黑"/>
          <w:bCs/>
          <w:sz w:val="21"/>
          <w:szCs w:val="21"/>
        </w:rPr>
        <w:t>中国境内营业额</w:t>
      </w:r>
      <w:r>
        <w:rPr>
          <w:rFonts w:hint="eastAsia" w:ascii="微软雅黑" w:hAnsi="微软雅黑" w:eastAsia="微软雅黑" w:cs="微软雅黑"/>
          <w:bCs/>
          <w:sz w:val="21"/>
          <w:szCs w:val="21"/>
          <w:lang w:eastAsia="zh-CN"/>
        </w:rPr>
        <w:t>均</w:t>
      </w:r>
      <w:r>
        <w:rPr>
          <w:rFonts w:hint="eastAsia" w:ascii="微软雅黑" w:hAnsi="微软雅黑" w:eastAsia="微软雅黑" w:cs="微软雅黑"/>
          <w:bCs/>
          <w:sz w:val="21"/>
          <w:szCs w:val="21"/>
        </w:rPr>
        <w:t>为</w:t>
      </w:r>
      <w:r>
        <w:rPr>
          <w:rFonts w:hint="eastAsia" w:ascii="微软雅黑" w:hAnsi="微软雅黑" w:eastAsia="微软雅黑" w:cs="微软雅黑"/>
          <w:bCs/>
          <w:sz w:val="21"/>
          <w:szCs w:val="21"/>
          <w:lang w:val="en-US" w:eastAsia="zh-CN"/>
        </w:rPr>
        <w:t>（略）</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达到《国务院关于经营者集中申报标准的规定》第三条规定的申报标准，属于应当申报的情形。</w:t>
      </w:r>
      <w:bookmarkEnd w:id="1"/>
    </w:p>
    <w:p>
      <w:pPr>
        <w:keepNext w:val="0"/>
        <w:keepLines w:val="0"/>
        <w:pageBreakBefore w:val="0"/>
        <w:widowControl w:val="0"/>
        <w:kinsoku/>
        <w:wordWrap/>
        <w:topLinePunct w:val="0"/>
        <w:bidi w:val="0"/>
        <w:adjustRightInd/>
        <w:snapToGrid/>
        <w:spacing w:line="240" w:lineRule="auto"/>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《反垄断法》第二十一条规定“经营者集中达到国务院规定的申报标准的，经营者应当事先向国务院反垄断执法机构申报，未申报的不得实施集中”。</w:t>
      </w:r>
      <w:r>
        <w:rPr>
          <w:rFonts w:hint="eastAsia" w:ascii="微软雅黑" w:hAnsi="微软雅黑" w:eastAsia="微软雅黑" w:cs="微软雅黑"/>
          <w:sz w:val="21"/>
          <w:szCs w:val="21"/>
        </w:rPr>
        <w:t>2018年3月16日，合营企业取得营业执照。</w:t>
      </w:r>
      <w:r>
        <w:rPr>
          <w:rFonts w:hint="eastAsia" w:ascii="微软雅黑" w:hAnsi="微软雅黑" w:eastAsia="微软雅黑" w:cs="微软雅黑"/>
          <w:sz w:val="21"/>
          <w:szCs w:val="21"/>
        </w:rPr>
        <w:t>在此之前未向本机关申报，违反《反垄断法》第二十一条，构成违法实施的经营者集中。</w:t>
      </w:r>
    </w:p>
    <w:p>
      <w:pPr>
        <w:keepNext w:val="0"/>
        <w:keepLines w:val="0"/>
        <w:pageBreakBefore w:val="0"/>
        <w:widowControl w:val="0"/>
        <w:kinsoku/>
        <w:wordWrap/>
        <w:topLinePunct w:val="0"/>
        <w:bidi w:val="0"/>
        <w:adjustRightInd/>
        <w:snapToGrid/>
        <w:spacing w:line="240" w:lineRule="auto"/>
        <w:ind w:firstLine="408" w:firstLineChars="200"/>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（二）本案不具有排除、限制竞争的效果。</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本机关就</w:t>
      </w:r>
      <w:r>
        <w:rPr>
          <w:rFonts w:hint="eastAsia" w:ascii="微软雅黑" w:hAnsi="微软雅黑" w:eastAsia="微软雅黑" w:cs="微软雅黑"/>
          <w:bCs/>
          <w:sz w:val="21"/>
          <w:szCs w:val="21"/>
          <w:lang w:eastAsia="zh-CN"/>
        </w:rPr>
        <w:t>惠迪天津与特来电</w:t>
      </w:r>
      <w:r>
        <w:rPr>
          <w:rFonts w:hint="eastAsia" w:ascii="微软雅黑" w:hAnsi="微软雅黑" w:eastAsia="微软雅黑" w:cs="微软雅黑"/>
          <w:sz w:val="21"/>
          <w:szCs w:val="21"/>
        </w:rPr>
        <w:t>设立合营企业</w:t>
      </w:r>
      <w:r>
        <w:rPr>
          <w:rFonts w:hint="eastAsia" w:ascii="微软雅黑" w:hAnsi="微软雅黑" w:eastAsia="微软雅黑" w:cs="微软雅黑"/>
          <w:sz w:val="21"/>
          <w:szCs w:val="21"/>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三、行政处罚依据和决定</w:t>
      </w:r>
    </w:p>
    <w:p>
      <w:pPr>
        <w:keepNext w:val="0"/>
        <w:keepLines w:val="0"/>
        <w:pageBreakBefore w:val="0"/>
        <w:widowControl w:val="0"/>
        <w:kinsoku/>
        <w:wordWrap/>
        <w:topLinePunct w:val="0"/>
        <w:bidi w:val="0"/>
        <w:adjustRightInd/>
        <w:snapToGrid/>
        <w:spacing w:line="240" w:lineRule="auto"/>
        <w:ind w:firstLine="400" w:firstLineChars="196"/>
        <w:textAlignment w:val="auto"/>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反垄断法》第四十八条规定“经营者违反本法规定实施集中的，由国务院反垄断执法机构责令停止实施集中、限期处分股份或者资产、限期转让营业以及采取其他必要措施恢复到集中前的状态，可以处五十万元以下的罚款”。《反垄断法》第四十九条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adjustRightInd/>
        <w:snapToGrid/>
        <w:spacing w:line="240" w:lineRule="auto"/>
        <w:ind w:firstLine="400" w:firstLineChars="196"/>
        <w:textAlignment w:val="auto"/>
        <w:rPr>
          <w:rFonts w:hint="eastAsia" w:ascii="微软雅黑" w:hAnsi="微软雅黑" w:eastAsia="微软雅黑" w:cs="微软雅黑"/>
          <w:sz w:val="21"/>
          <w:szCs w:val="21"/>
        </w:rPr>
      </w:pPr>
      <w:r>
        <w:rPr>
          <w:rFonts w:hint="eastAsia" w:ascii="微软雅黑" w:hAnsi="微软雅黑" w:eastAsia="微软雅黑" w:cs="微软雅黑"/>
          <w:bCs/>
          <w:color w:val="000000"/>
          <w:sz w:val="21"/>
          <w:szCs w:val="21"/>
        </w:rPr>
        <w:t>根据上述规定，</w:t>
      </w:r>
      <w:r>
        <w:rPr>
          <w:rFonts w:hint="eastAsia" w:ascii="微软雅黑" w:hAnsi="微软雅黑" w:eastAsia="微软雅黑" w:cs="微软雅黑"/>
          <w:sz w:val="21"/>
          <w:szCs w:val="21"/>
        </w:rPr>
        <w:t>基于上述调查情况和评估结论，本机关</w:t>
      </w:r>
      <w:r>
        <w:rPr>
          <w:rFonts w:hint="eastAsia" w:ascii="微软雅黑" w:hAnsi="微软雅黑" w:eastAsia="微软雅黑" w:cs="微软雅黑"/>
          <w:bCs/>
          <w:color w:val="000000"/>
          <w:sz w:val="21"/>
          <w:szCs w:val="21"/>
        </w:rPr>
        <w:t>分别给予</w:t>
      </w:r>
      <w:r>
        <w:rPr>
          <w:rFonts w:hint="eastAsia" w:ascii="微软雅黑" w:hAnsi="微软雅黑" w:eastAsia="微软雅黑" w:cs="微软雅黑"/>
          <w:bCs/>
          <w:sz w:val="21"/>
          <w:szCs w:val="21"/>
          <w:lang w:eastAsia="zh-CN"/>
        </w:rPr>
        <w:t>惠迪天津与特来电</w:t>
      </w:r>
      <w:r>
        <w:rPr>
          <w:rFonts w:hint="eastAsia" w:ascii="微软雅黑" w:hAnsi="微软雅黑" w:eastAsia="微软雅黑" w:cs="微软雅黑"/>
          <w:bCs/>
          <w:color w:val="000000"/>
          <w:sz w:val="21"/>
          <w:szCs w:val="21"/>
        </w:rPr>
        <w:t>50万元罚款</w:t>
      </w:r>
      <w:r>
        <w:rPr>
          <w:rFonts w:hint="eastAsia" w:ascii="微软雅黑" w:hAnsi="微软雅黑" w:eastAsia="微软雅黑" w:cs="微软雅黑"/>
          <w:bCs/>
          <w:color w:val="000000"/>
          <w:sz w:val="21"/>
          <w:szCs w:val="21"/>
        </w:rPr>
        <w:t>的行政处罚。</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行政处罚法》第四十六条规定“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当事人应当自收到本行政处罚决定书之日起十五日内，根据本行政处罚决定书，携缴款码到12家中央财政非税收入收缴代理银行（工、农、中、建、交、中信、光大、招商、邮储、华夏、平安、兴业）任一银行网点或者网上银行交纳罚款。缴款码为：</w:t>
      </w:r>
      <w:r>
        <w:rPr>
          <w:rFonts w:hint="eastAsia" w:ascii="微软雅黑" w:hAnsi="微软雅黑" w:eastAsia="微软雅黑" w:cs="微软雅黑"/>
          <w:sz w:val="21"/>
          <w:szCs w:val="21"/>
          <w:lang w:eastAsia="zh-CN"/>
        </w:rPr>
        <w:t>惠迪天津</w:t>
      </w:r>
      <w:r>
        <w:rPr>
          <w:rFonts w:hint="eastAsia" w:ascii="微软雅黑" w:hAnsi="微软雅黑" w:eastAsia="微软雅黑" w:cs="微软雅黑"/>
          <w:sz w:val="21"/>
          <w:szCs w:val="21"/>
        </w:rPr>
        <w:t>000000210</w:t>
      </w:r>
      <w:r>
        <w:rPr>
          <w:rFonts w:hint="eastAsia" w:ascii="微软雅黑" w:hAnsi="微软雅黑" w:eastAsia="微软雅黑" w:cs="微软雅黑"/>
          <w:sz w:val="21"/>
          <w:szCs w:val="21"/>
          <w:lang w:val="en-US" w:eastAsia="zh-CN"/>
        </w:rPr>
        <w:t>1210699；</w:t>
      </w:r>
      <w:r>
        <w:rPr>
          <w:rFonts w:hint="eastAsia" w:ascii="微软雅黑" w:hAnsi="微软雅黑" w:eastAsia="微软雅黑" w:cs="微软雅黑"/>
          <w:sz w:val="21"/>
          <w:szCs w:val="21"/>
          <w:lang w:eastAsia="zh-CN"/>
        </w:rPr>
        <w:t>特来电</w:t>
      </w:r>
      <w:r>
        <w:rPr>
          <w:rFonts w:hint="eastAsia" w:ascii="微软雅黑" w:hAnsi="微软雅黑" w:eastAsia="微软雅黑" w:cs="微软雅黑"/>
          <w:sz w:val="21"/>
          <w:szCs w:val="21"/>
        </w:rPr>
        <w:t>000000210</w:t>
      </w:r>
      <w:r>
        <w:rPr>
          <w:rFonts w:hint="eastAsia" w:ascii="微软雅黑" w:hAnsi="微软雅黑" w:eastAsia="微软雅黑" w:cs="微软雅黑"/>
          <w:sz w:val="21"/>
          <w:szCs w:val="21"/>
          <w:lang w:val="en-US" w:eastAsia="zh-CN"/>
        </w:rPr>
        <w:t>1210701</w:t>
      </w:r>
      <w:r>
        <w:rPr>
          <w:rFonts w:hint="eastAsia" w:ascii="微软雅黑" w:hAnsi="微软雅黑" w:eastAsia="微软雅黑" w:cs="微软雅黑"/>
          <w:sz w:val="21"/>
          <w:szCs w:val="21"/>
        </w:rPr>
        <w:t>。</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w:t>
      </w:r>
    </w:p>
    <w:p>
      <w:pPr>
        <w:keepNext w:val="0"/>
        <w:keepLines w:val="0"/>
        <w:pageBreakBefore w:val="0"/>
        <w:widowControl w:val="0"/>
        <w:kinsoku/>
        <w:wordWrap/>
        <w:topLinePunct w:val="0"/>
        <w:bidi w:val="0"/>
        <w:adjustRightInd/>
        <w:snapToGrid/>
        <w:spacing w:line="240" w:lineRule="auto"/>
        <w:ind w:firstLine="3530" w:firstLineChars="173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市场监管总局</w:t>
      </w:r>
    </w:p>
    <w:p>
      <w:pPr>
        <w:keepNext w:val="0"/>
        <w:keepLines w:val="0"/>
        <w:pageBreakBefore w:val="0"/>
        <w:widowControl w:val="0"/>
        <w:kinsoku/>
        <w:wordWrap/>
        <w:topLinePunct w:val="0"/>
        <w:bidi w:val="0"/>
        <w:adjustRightInd/>
        <w:snapToGrid/>
        <w:spacing w:line="240" w:lineRule="auto"/>
        <w:ind w:firstLine="3395" w:firstLineChars="1664"/>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2021年</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rPr>
        <w:t>日</w:t>
      </w:r>
    </w:p>
    <w:p>
      <w:pPr>
        <w:keepNext w:val="0"/>
        <w:keepLines w:val="0"/>
        <w:pageBreakBefore w:val="0"/>
        <w:widowControl w:val="0"/>
        <w:kinsoku/>
        <w:wordWrap/>
        <w:topLinePunct w:val="0"/>
        <w:bidi w:val="0"/>
        <w:adjustRightInd/>
        <w:snapToGrid/>
        <w:spacing w:line="240" w:lineRule="auto"/>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（此件公开发布）</w:t>
      </w:r>
    </w:p>
    <w:bookmarkEnd w:id="2"/>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3</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dit="forms" w:enforcement="0"/>
  <w:defaultTabStop w:val="420"/>
  <w:drawingGridHorizontalSpacing w:val="102"/>
  <w:drawingGridVerticalSpacing w:val="289"/>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11E"/>
    <w:rsid w:val="00040581"/>
    <w:rsid w:val="000548A3"/>
    <w:rsid w:val="000827DF"/>
    <w:rsid w:val="00091794"/>
    <w:rsid w:val="00104DF8"/>
    <w:rsid w:val="0012430A"/>
    <w:rsid w:val="00133F5C"/>
    <w:rsid w:val="001377A0"/>
    <w:rsid w:val="00157F53"/>
    <w:rsid w:val="001659F5"/>
    <w:rsid w:val="00172A27"/>
    <w:rsid w:val="001B5F85"/>
    <w:rsid w:val="001D38FA"/>
    <w:rsid w:val="001D41C2"/>
    <w:rsid w:val="00215C4B"/>
    <w:rsid w:val="002211B6"/>
    <w:rsid w:val="00224158"/>
    <w:rsid w:val="00234B72"/>
    <w:rsid w:val="00245423"/>
    <w:rsid w:val="00252E7C"/>
    <w:rsid w:val="00290548"/>
    <w:rsid w:val="00295562"/>
    <w:rsid w:val="002A1B6C"/>
    <w:rsid w:val="002A7578"/>
    <w:rsid w:val="002D4659"/>
    <w:rsid w:val="002D6CFB"/>
    <w:rsid w:val="002D7588"/>
    <w:rsid w:val="002F155E"/>
    <w:rsid w:val="0031556A"/>
    <w:rsid w:val="00373D66"/>
    <w:rsid w:val="003A1E45"/>
    <w:rsid w:val="003A4782"/>
    <w:rsid w:val="003D3BC1"/>
    <w:rsid w:val="003D6E20"/>
    <w:rsid w:val="003F7ACA"/>
    <w:rsid w:val="004715CB"/>
    <w:rsid w:val="004A3B22"/>
    <w:rsid w:val="004A6137"/>
    <w:rsid w:val="004B0121"/>
    <w:rsid w:val="004B1754"/>
    <w:rsid w:val="004B55D7"/>
    <w:rsid w:val="004B6FC4"/>
    <w:rsid w:val="004B7197"/>
    <w:rsid w:val="004C4C76"/>
    <w:rsid w:val="005036C6"/>
    <w:rsid w:val="00521A14"/>
    <w:rsid w:val="00550A0E"/>
    <w:rsid w:val="005701B7"/>
    <w:rsid w:val="0057731C"/>
    <w:rsid w:val="005834E9"/>
    <w:rsid w:val="00583867"/>
    <w:rsid w:val="00587D8A"/>
    <w:rsid w:val="005927DC"/>
    <w:rsid w:val="005B5018"/>
    <w:rsid w:val="005D07A8"/>
    <w:rsid w:val="005D48B1"/>
    <w:rsid w:val="00604C0E"/>
    <w:rsid w:val="00614049"/>
    <w:rsid w:val="00630C68"/>
    <w:rsid w:val="00655AF9"/>
    <w:rsid w:val="00656161"/>
    <w:rsid w:val="006578EE"/>
    <w:rsid w:val="00660A94"/>
    <w:rsid w:val="00661399"/>
    <w:rsid w:val="0066394B"/>
    <w:rsid w:val="006A3757"/>
    <w:rsid w:val="006A50C5"/>
    <w:rsid w:val="006A5BC7"/>
    <w:rsid w:val="006B5883"/>
    <w:rsid w:val="006C3A6D"/>
    <w:rsid w:val="006D4879"/>
    <w:rsid w:val="006E715E"/>
    <w:rsid w:val="00703F3B"/>
    <w:rsid w:val="00705AB4"/>
    <w:rsid w:val="00725EB8"/>
    <w:rsid w:val="0073264D"/>
    <w:rsid w:val="0076009F"/>
    <w:rsid w:val="007754D3"/>
    <w:rsid w:val="007B40DF"/>
    <w:rsid w:val="007C5FFE"/>
    <w:rsid w:val="007E404F"/>
    <w:rsid w:val="008039F4"/>
    <w:rsid w:val="008421E5"/>
    <w:rsid w:val="008546C0"/>
    <w:rsid w:val="0086703C"/>
    <w:rsid w:val="00880EEE"/>
    <w:rsid w:val="008A6262"/>
    <w:rsid w:val="008C4F45"/>
    <w:rsid w:val="008C74C9"/>
    <w:rsid w:val="008D18C9"/>
    <w:rsid w:val="008F7380"/>
    <w:rsid w:val="009054BC"/>
    <w:rsid w:val="00933B18"/>
    <w:rsid w:val="009766E6"/>
    <w:rsid w:val="009C1DFA"/>
    <w:rsid w:val="009C2E79"/>
    <w:rsid w:val="009C64B1"/>
    <w:rsid w:val="00A1167A"/>
    <w:rsid w:val="00A43255"/>
    <w:rsid w:val="00A43444"/>
    <w:rsid w:val="00A579FA"/>
    <w:rsid w:val="00A64434"/>
    <w:rsid w:val="00A863CB"/>
    <w:rsid w:val="00AA210A"/>
    <w:rsid w:val="00AF28DA"/>
    <w:rsid w:val="00AF75F0"/>
    <w:rsid w:val="00B219BA"/>
    <w:rsid w:val="00B26526"/>
    <w:rsid w:val="00B63EEB"/>
    <w:rsid w:val="00B73583"/>
    <w:rsid w:val="00B76FB1"/>
    <w:rsid w:val="00B94346"/>
    <w:rsid w:val="00B948A7"/>
    <w:rsid w:val="00B972B7"/>
    <w:rsid w:val="00BA16FE"/>
    <w:rsid w:val="00BD7CF0"/>
    <w:rsid w:val="00BE39C4"/>
    <w:rsid w:val="00BF319F"/>
    <w:rsid w:val="00C0343D"/>
    <w:rsid w:val="00C157EB"/>
    <w:rsid w:val="00C206BA"/>
    <w:rsid w:val="00C302A6"/>
    <w:rsid w:val="00C54183"/>
    <w:rsid w:val="00C77643"/>
    <w:rsid w:val="00C87B50"/>
    <w:rsid w:val="00CC3D1E"/>
    <w:rsid w:val="00D039F2"/>
    <w:rsid w:val="00D03E5A"/>
    <w:rsid w:val="00D10C55"/>
    <w:rsid w:val="00D12714"/>
    <w:rsid w:val="00D216FE"/>
    <w:rsid w:val="00D26834"/>
    <w:rsid w:val="00D30DD5"/>
    <w:rsid w:val="00D40512"/>
    <w:rsid w:val="00D43969"/>
    <w:rsid w:val="00D61F35"/>
    <w:rsid w:val="00D64391"/>
    <w:rsid w:val="00D71DFB"/>
    <w:rsid w:val="00D71ED4"/>
    <w:rsid w:val="00D746CB"/>
    <w:rsid w:val="00D85D06"/>
    <w:rsid w:val="00D873E3"/>
    <w:rsid w:val="00DB5CAF"/>
    <w:rsid w:val="00DD56EC"/>
    <w:rsid w:val="00DE3DCF"/>
    <w:rsid w:val="00E22F9F"/>
    <w:rsid w:val="00E4554C"/>
    <w:rsid w:val="00E508DB"/>
    <w:rsid w:val="00E541CD"/>
    <w:rsid w:val="00E557EF"/>
    <w:rsid w:val="00E55B87"/>
    <w:rsid w:val="00EA037C"/>
    <w:rsid w:val="00EC0E39"/>
    <w:rsid w:val="00EC70E9"/>
    <w:rsid w:val="00ED1821"/>
    <w:rsid w:val="00ED42C0"/>
    <w:rsid w:val="00F02F79"/>
    <w:rsid w:val="00F10C7C"/>
    <w:rsid w:val="00F20E60"/>
    <w:rsid w:val="00F72F95"/>
    <w:rsid w:val="00F90DCE"/>
    <w:rsid w:val="00FA4B88"/>
    <w:rsid w:val="00FC731D"/>
    <w:rsid w:val="00FD276D"/>
    <w:rsid w:val="00FE4FC2"/>
    <w:rsid w:val="00FE6553"/>
    <w:rsid w:val="01530E89"/>
    <w:rsid w:val="019452B7"/>
    <w:rsid w:val="01D45419"/>
    <w:rsid w:val="03570C80"/>
    <w:rsid w:val="040D264D"/>
    <w:rsid w:val="044C2096"/>
    <w:rsid w:val="04E75D87"/>
    <w:rsid w:val="0B307E77"/>
    <w:rsid w:val="0D4D2427"/>
    <w:rsid w:val="0D8F1716"/>
    <w:rsid w:val="0EAA3ED1"/>
    <w:rsid w:val="104E0B39"/>
    <w:rsid w:val="132500A4"/>
    <w:rsid w:val="13752A27"/>
    <w:rsid w:val="15F526A7"/>
    <w:rsid w:val="177C27C1"/>
    <w:rsid w:val="1B28094D"/>
    <w:rsid w:val="1BE7757A"/>
    <w:rsid w:val="1FAB48BB"/>
    <w:rsid w:val="211B31BE"/>
    <w:rsid w:val="2B206C51"/>
    <w:rsid w:val="2DE60730"/>
    <w:rsid w:val="2E301C88"/>
    <w:rsid w:val="2E7343AE"/>
    <w:rsid w:val="2ECD2496"/>
    <w:rsid w:val="2F937DA9"/>
    <w:rsid w:val="301A4762"/>
    <w:rsid w:val="32DC238B"/>
    <w:rsid w:val="34524D2B"/>
    <w:rsid w:val="35480A96"/>
    <w:rsid w:val="363200C0"/>
    <w:rsid w:val="3A30675E"/>
    <w:rsid w:val="3ABD31FA"/>
    <w:rsid w:val="3E974195"/>
    <w:rsid w:val="3EAD5FEC"/>
    <w:rsid w:val="3F267478"/>
    <w:rsid w:val="3FB97FF4"/>
    <w:rsid w:val="40CA3459"/>
    <w:rsid w:val="421D1137"/>
    <w:rsid w:val="451B0817"/>
    <w:rsid w:val="4AB65652"/>
    <w:rsid w:val="4D39790A"/>
    <w:rsid w:val="4FD318BE"/>
    <w:rsid w:val="52154BBE"/>
    <w:rsid w:val="542559AB"/>
    <w:rsid w:val="542A0388"/>
    <w:rsid w:val="54D7081A"/>
    <w:rsid w:val="57932952"/>
    <w:rsid w:val="58407466"/>
    <w:rsid w:val="5DEA10B2"/>
    <w:rsid w:val="5F3D449D"/>
    <w:rsid w:val="60810CDA"/>
    <w:rsid w:val="63464DED"/>
    <w:rsid w:val="653809D0"/>
    <w:rsid w:val="653E0534"/>
    <w:rsid w:val="66034A8F"/>
    <w:rsid w:val="691E1EC4"/>
    <w:rsid w:val="6B146BDD"/>
    <w:rsid w:val="6D8964AE"/>
    <w:rsid w:val="6F984983"/>
    <w:rsid w:val="74D14500"/>
    <w:rsid w:val="75944317"/>
    <w:rsid w:val="79A77D16"/>
    <w:rsid w:val="7C291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szCs w:val="2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unhideWhenUsed/>
    <w:qFormat/>
    <w:uiPriority w:val="99"/>
    <w:rPr>
      <w:rFonts w:ascii="宋体" w:hAnsi="宋体" w:cs="宋体"/>
      <w:color w:val="333333"/>
      <w:u w:val="none"/>
    </w:rPr>
  </w:style>
  <w:style w:type="paragraph" w:customStyle="1" w:styleId="10">
    <w:name w:val="Default"/>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11">
    <w:name w:val="内容"/>
    <w:basedOn w:val="1"/>
    <w:link w:val="12"/>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 w:type="character" w:customStyle="1" w:styleId="12">
    <w:name w:val="内容 Char"/>
    <w:basedOn w:val="7"/>
    <w:link w:val="11"/>
    <w:qFormat/>
    <w:uiPriority w:val="0"/>
    <w:rPr>
      <w:rFonts w:ascii="仿宋_GB2312" w:hAnsi="仿宋_GB2312" w:eastAsia="仿宋_GB2312"/>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5</Pages>
  <Words>1874</Words>
  <Characters>308</Characters>
  <Lines>2</Lines>
  <Paragraphs>4</Paragraphs>
  <TotalTime>1</TotalTime>
  <ScaleCrop>false</ScaleCrop>
  <LinksUpToDate>false</LinksUpToDate>
  <CharactersWithSpaces>2178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2020-04-01T01:55:00Z</dcterms:created>
  <dc:creator>FtpDown</dc:creator>
  <cp:lastModifiedBy>陈永仁</cp:lastModifiedBy>
  <cp:lastPrinted>2021-07-01T09:46:00Z</cp:lastPrinted>
  <dcterms:modified xsi:type="dcterms:W3CDTF">2021-07-10T14:43:16Z</dcterms:modified>
  <dc:title>国有工商行政管理总局行政处罚公告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BBDAE4686F8F4F4F89AFD1C2B8D67808</vt:lpwstr>
  </property>
</Properties>
</file>