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000000"/>
          <w:spacing w:val="202"/>
          <w:kern w:val="0"/>
          <w:sz w:val="21"/>
          <w:szCs w:val="21"/>
          <w:fitText w:val="5742" w:id="1369333083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000000"/>
          <w:spacing w:val="3"/>
          <w:kern w:val="0"/>
          <w:sz w:val="21"/>
          <w:szCs w:val="21"/>
          <w:fitText w:val="5742" w:id="1369333083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000000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78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国市监处〔202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52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78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阿里巴巴（中国）网络技术有限公司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住  所：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浙江省杭州市滨江区网商路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699号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根据《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反垄断法》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（以下简称《反垄断法》）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《经营者集中审查暂行规定》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，本机关于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2021年3月11日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阿里巴巴（中国）网络技术有限公司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（以下简称阿里网络）</w:t>
      </w:r>
      <w:r>
        <w:rPr>
          <w:rFonts w:hint="eastAsia" w:ascii="微软雅黑" w:hAnsi="微软雅黑" w:eastAsia="微软雅黑" w:cs="微软雅黑"/>
          <w:sz w:val="21"/>
          <w:szCs w:val="21"/>
        </w:rPr>
        <w:t>收购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天鲜配（上海）科技有限公司（以下简称天鲜配</w:t>
      </w:r>
      <w:r>
        <w:rPr>
          <w:rFonts w:hint="eastAsia" w:ascii="微软雅黑" w:hAnsi="微软雅黑" w:eastAsia="微软雅黑" w:cs="微软雅黑"/>
          <w:sz w:val="21"/>
          <w:szCs w:val="21"/>
        </w:rPr>
        <w:t>）股权涉嫌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违法实施经营者集中</w:t>
      </w:r>
      <w:r>
        <w:rPr>
          <w:rFonts w:hint="eastAsia" w:ascii="微软雅黑" w:hAnsi="微软雅黑" w:eastAsia="微软雅黑" w:cs="微软雅黑"/>
          <w:sz w:val="21"/>
          <w:szCs w:val="21"/>
        </w:rPr>
        <w:t>案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="0" w:afterAutospacing="0" w:line="578" w:lineRule="exact"/>
        <w:ind w:left="0" w:right="0" w:firstLine="408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经查，该案构成违法实施的经营者集中，但不具有排除、限制竞争的效果。本机关按照《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阿里网络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送达了《行政处罚告知书》，告知其拟作出行政处罚决定的事实、理由、证据、处罚内容，以及其依法享有的陈述权、申辩权和要求听证权。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阿里网络在规定期限内没有提出陈述、申辩意见或要求举行听证。本案现已调查、审理终结。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（一）交易方。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78" w:lineRule="exact"/>
        <w:ind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收购方：阿里网络。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1999年于浙江省杭州市注册成立，是阿里巴巴集团控股有限公司</w:t>
      </w:r>
      <w:r>
        <w:rPr>
          <w:rFonts w:hint="eastAsia" w:ascii="微软雅黑" w:hAnsi="微软雅黑" w:eastAsia="微软雅黑" w:cs="微软雅黑"/>
          <w:sz w:val="21"/>
          <w:szCs w:val="21"/>
        </w:rPr>
        <w:t>(Alibaba Group Holding Limited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，以</w:t>
      </w:r>
      <w:r>
        <w:rPr>
          <w:rFonts w:hint="eastAsia" w:ascii="微软雅黑" w:hAnsi="微软雅黑" w:eastAsia="微软雅黑" w:cs="微软雅黑"/>
          <w:sz w:val="21"/>
          <w:szCs w:val="21"/>
        </w:rPr>
        <w:t>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简</w:t>
      </w:r>
      <w:r>
        <w:rPr>
          <w:rFonts w:hint="eastAsia" w:ascii="微软雅黑" w:hAnsi="微软雅黑" w:eastAsia="微软雅黑" w:cs="微软雅黑"/>
          <w:sz w:val="21"/>
          <w:szCs w:val="21"/>
        </w:rPr>
        <w:t>称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阿里</w:t>
      </w:r>
      <w:r>
        <w:rPr>
          <w:rFonts w:hint="eastAsia" w:ascii="微软雅黑" w:hAnsi="微软雅黑" w:eastAsia="微软雅黑" w:cs="微软雅黑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的全资子公司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阿里主营业务包括网络零售平台服务、零售及批发商业、物流服务、生活服务、云计算、数字媒体及娱乐、创新业务等。</w:t>
      </w:r>
      <w:r>
        <w:rPr>
          <w:rFonts w:hint="eastAsia" w:ascii="微软雅黑" w:hAnsi="微软雅黑" w:eastAsia="微软雅黑" w:cs="微软雅黑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8年</w:t>
      </w:r>
      <w:r>
        <w:rPr>
          <w:rFonts w:hint="eastAsia" w:ascii="微软雅黑" w:hAnsi="微软雅黑" w:eastAsia="微软雅黑" w:cs="微软雅黑"/>
          <w:sz w:val="21"/>
          <w:szCs w:val="21"/>
        </w:rPr>
        <w:t>全球营业额为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640"/>
        <w:jc w:val="both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被收购方：天鲜配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2018年7月19日于上海市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注册成立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是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内蒙古蒙牛乳业（集团）股份有限公司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称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内蒙蒙牛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的全资子公司。内蒙蒙牛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</w:rPr>
        <w:t>控股股东为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中国蒙牛乳业有限公司（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称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中国蒙牛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）。天鲜配主要从事巴氏杀菌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奶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和低温酸奶的销售业务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2018年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全球营业额和中国境内营业额均为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中国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蒙牛2018年全球营业额为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（二）交易概况。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本次交易系股权收购。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2019年9月23日，阿里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网络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与天鲜配及其原有股东内蒙蒙牛签署《投资及股东协议》，阿里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网络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认购天鲜配新增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注册资本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交易完成后阿里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网络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和内蒙蒙牛分别持有天鲜配50%股权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共同控制天鲜配。2019年11月15日，天鲜配完成股权变更登记手续。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（一）本案构成违法实施的经营者集中。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对其他经营者的控制权或者能够对其他经营者施加决定性影响”。阿里网络收购天鲜配50%股权，并取得天鲜配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控制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权，属于《反垄断法》第二十条规定的经营者集中。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408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阿里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网络</w:t>
      </w:r>
      <w:r>
        <w:rPr>
          <w:rFonts w:hint="eastAsia" w:ascii="微软雅黑" w:hAnsi="微软雅黑" w:eastAsia="微软雅黑" w:cs="微软雅黑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</w:rPr>
        <w:t>年全球营业额为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；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中国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蒙牛2018年全球营业额为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before="0" w:beforeAutospacing="0" w:after="0" w:afterAutospacing="0" w:line="578" w:lineRule="exact"/>
        <w:ind w:firstLine="408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2019年11月15日，天鲜配完成股权变更登记手续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在此之前未向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本机关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申报，违反《反垄断法》第二十一条，构成违法实施</w:t>
      </w:r>
      <w:r>
        <w:rPr>
          <w:rFonts w:hint="eastAsia" w:ascii="微软雅黑" w:hAnsi="微软雅黑" w:eastAsia="微软雅黑" w:cs="微软雅黑"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408" w:firstLineChars="200"/>
        <w:textAlignment w:val="auto"/>
        <w:outlineLvl w:val="0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本机关就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阿里网络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收购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天鲜配股权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基于调查情况和评估结论，本机关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给予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阿里网络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0万元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《行政处罚法》第四十六条规定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“作出罚款决定的行政机关应当与收缴罚款的机构分离。除依照本法第四十七条、第四十八条的规定当场收缴的罚款外，作出行政处罚决定的行政机关及其执法人员不得自行收缴罚款。当事人应当自收到行政处罚决定书之日起十五日内，到指定的银行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0000002100081856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78" w:lineRule="exact"/>
        <w:ind w:firstLine="3530" w:firstLineChars="173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78" w:lineRule="exact"/>
        <w:ind w:firstLine="3395" w:firstLineChars="1664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（此件公开发布）</w:t>
      </w:r>
    </w:p>
    <w:bookmarkEnd w:id="0"/>
    <w:sectPr>
      <w:footerReference r:id="rId3" w:type="default"/>
      <w:footerReference r:id="rId4" w:type="even"/>
      <w:pgSz w:w="11906" w:h="16838"/>
      <w:pgMar w:top="20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0F05B53"/>
    <w:rsid w:val="05A34806"/>
    <w:rsid w:val="05D15580"/>
    <w:rsid w:val="075F674C"/>
    <w:rsid w:val="09AC08F5"/>
    <w:rsid w:val="13F85EFD"/>
    <w:rsid w:val="16657401"/>
    <w:rsid w:val="169767E4"/>
    <w:rsid w:val="18DB1E51"/>
    <w:rsid w:val="192053EE"/>
    <w:rsid w:val="1A156921"/>
    <w:rsid w:val="1B095395"/>
    <w:rsid w:val="1D3570B1"/>
    <w:rsid w:val="1F573D93"/>
    <w:rsid w:val="2158325E"/>
    <w:rsid w:val="232076C2"/>
    <w:rsid w:val="26063C96"/>
    <w:rsid w:val="265326DA"/>
    <w:rsid w:val="28C8606C"/>
    <w:rsid w:val="29171A1E"/>
    <w:rsid w:val="31E778A8"/>
    <w:rsid w:val="33B94AAA"/>
    <w:rsid w:val="38043EF0"/>
    <w:rsid w:val="3F3F5A25"/>
    <w:rsid w:val="4297136E"/>
    <w:rsid w:val="44F1186A"/>
    <w:rsid w:val="49513DE5"/>
    <w:rsid w:val="49F75885"/>
    <w:rsid w:val="4ABC40B8"/>
    <w:rsid w:val="4CEB3DD8"/>
    <w:rsid w:val="4EF957B9"/>
    <w:rsid w:val="4EFD73AF"/>
    <w:rsid w:val="51075873"/>
    <w:rsid w:val="52A77C54"/>
    <w:rsid w:val="598F067F"/>
    <w:rsid w:val="5BDD2331"/>
    <w:rsid w:val="5C686AC3"/>
    <w:rsid w:val="5CB7558D"/>
    <w:rsid w:val="5D4E6DD5"/>
    <w:rsid w:val="6030374E"/>
    <w:rsid w:val="630535E1"/>
    <w:rsid w:val="63432760"/>
    <w:rsid w:val="640E6FE8"/>
    <w:rsid w:val="67DC609C"/>
    <w:rsid w:val="68197930"/>
    <w:rsid w:val="686D740E"/>
    <w:rsid w:val="6E820642"/>
    <w:rsid w:val="6F712D0C"/>
    <w:rsid w:val="7073388E"/>
    <w:rsid w:val="7A782B89"/>
    <w:rsid w:val="7D6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2020-12-10T02:26:00Z</dcterms:created>
  <dc:creator>徐霄飞</dc:creator>
  <cp:lastModifiedBy>陈永仁</cp:lastModifiedBy>
  <cp:lastPrinted>2021-07-02T02:15:00Z</cp:lastPrinted>
  <dcterms:modified xsi:type="dcterms:W3CDTF">2021-07-10T14:20:22Z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4B0C554594A04B9091D4B344495636C3</vt:lpwstr>
  </property>
</Properties>
</file>