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Cs/>
          <w:color w:val="000000"/>
          <w:spacing w:val="202"/>
          <w:kern w:val="0"/>
          <w:sz w:val="21"/>
          <w:szCs w:val="21"/>
          <w:fitText w:val="5742" w:id="1017253343"/>
        </w:rPr>
        <w:t>国家市场监督管理总</w:t>
      </w:r>
      <w:r>
        <w:rPr>
          <w:rFonts w:hint="eastAsia" w:ascii="微软雅黑" w:hAnsi="微软雅黑" w:eastAsia="微软雅黑" w:cs="微软雅黑"/>
          <w:bCs/>
          <w:color w:val="000000"/>
          <w:spacing w:val="3"/>
          <w:kern w:val="0"/>
          <w:sz w:val="21"/>
          <w:szCs w:val="21"/>
          <w:fitText w:val="5742" w:id="1017253343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pacing w:val="356"/>
          <w:kern w:val="0"/>
          <w:sz w:val="21"/>
          <w:szCs w:val="21"/>
          <w:fitText w:val="5742" w:id="1"/>
        </w:rPr>
        <w:t>行政处罚决定</w:t>
      </w:r>
      <w:r>
        <w:rPr>
          <w:rFonts w:hint="eastAsia" w:ascii="微软雅黑" w:hAnsi="微软雅黑" w:eastAsia="微软雅黑" w:cs="微软雅黑"/>
          <w:bCs/>
          <w:color w:val="000000"/>
          <w:spacing w:val="0"/>
          <w:kern w:val="0"/>
          <w:sz w:val="21"/>
          <w:szCs w:val="21"/>
          <w:fitText w:val="5742" w:id="1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78" w:lineRule="exact"/>
        <w:jc w:val="center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国市监处〔202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〕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/>
        </w:rPr>
        <w:t>57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78" w:lineRule="exact"/>
        <w:jc w:val="center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408" w:firstLineChars="200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当事人：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杭州阿里创业投资有限公司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78" w:lineRule="exact"/>
        <w:ind w:firstLine="408" w:firstLineChars="200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住  所：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eastAsia="zh-CN"/>
        </w:rPr>
        <w:t>杭州市滨江区网商路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/>
        </w:rPr>
        <w:t>699号1号楼3楼301室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78" w:lineRule="exact"/>
        <w:ind w:firstLine="408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当事人：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浙江省创新发展投资有限公司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78" w:lineRule="exact"/>
        <w:ind w:firstLine="408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住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所：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杭州市下城区刀茅巷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199号206室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408" w:firstLineChars="200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408" w:firstLineChars="200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根据《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eastAsia="zh-CN"/>
        </w:rPr>
        <w:t>中华人民共和国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反垄断法》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（以下简称《反垄断法》）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eastAsia="zh-CN"/>
        </w:rPr>
        <w:t>《经营者集中审查暂行规定》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，本机关于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2021年4月12日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对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杭州阿里创业投资有限公司（以下简称阿里创投）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与浙江省创新发展投资有限公司（以下简称浙江创新投资）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设立合营企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业浙江政采云网络有限公司（以下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简称政采云）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涉嫌违法实施经营者集中案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进行立案调查。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 w:val="0"/>
        <w:bidi w:val="0"/>
        <w:adjustRightInd w:val="0"/>
        <w:snapToGrid/>
        <w:spacing w:before="0" w:beforeAutospacing="0" w:after="0" w:afterAutospacing="0" w:line="578" w:lineRule="exact"/>
        <w:ind w:left="0" w:right="0" w:firstLine="408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经查，该案构成违法实施经营者集中，但不具有排除、限制竞争的效果。本机关按照《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eastAsia="zh-CN"/>
        </w:rPr>
        <w:t>中华人民共和国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行政处罚法》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（以下简称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《行政处罚法》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的规定，向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阿里创投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和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浙江创新投资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送达了《行政处罚告知书》，告知其拟作出行政处罚决定的事实、理由、证据、处罚内容，以及其依法享有的陈述权、申辩权和要求听证权。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"/>
        </w:rPr>
        <w:t>阿里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"/>
        </w:rPr>
        <w:t>创投和浙江创新投资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"/>
        </w:rPr>
        <w:t>在规定期限内没有提出陈述、申辩意见或要求举行听证。本案现已调查、审理终结。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408" w:firstLineChars="200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一、基本情况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</w:rPr>
        <w:t>（一）交易方。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78" w:lineRule="exact"/>
        <w:ind w:firstLine="64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  <w:lang w:val="en-US" w:eastAsia="zh-CN"/>
        </w:rPr>
        <w:t>合营方一：阿里创投。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2006</w:t>
      </w:r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lang w:val="en-US" w:eastAsia="zh-CN" w:bidi="ar-SA"/>
        </w:rPr>
        <w:t>年于浙江省杭州市注册成立，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最终控制人是阿里巴巴集团控股有限公司</w:t>
      </w:r>
      <w:r>
        <w:rPr>
          <w:rFonts w:hint="eastAsia" w:ascii="微软雅黑" w:hAnsi="微软雅黑" w:eastAsia="微软雅黑" w:cs="微软雅黑"/>
          <w:sz w:val="21"/>
          <w:szCs w:val="21"/>
        </w:rPr>
        <w:t>(Alibaba Group Holding Limited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，以</w:t>
      </w:r>
      <w:r>
        <w:rPr>
          <w:rFonts w:hint="eastAsia" w:ascii="微软雅黑" w:hAnsi="微软雅黑" w:eastAsia="微软雅黑" w:cs="微软雅黑"/>
          <w:sz w:val="21"/>
          <w:szCs w:val="21"/>
        </w:rPr>
        <w:t>下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简</w:t>
      </w:r>
      <w:r>
        <w:rPr>
          <w:rFonts w:hint="eastAsia" w:ascii="微软雅黑" w:hAnsi="微软雅黑" w:eastAsia="微软雅黑" w:cs="微软雅黑"/>
          <w:sz w:val="21"/>
          <w:szCs w:val="21"/>
        </w:rPr>
        <w:t>称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阿里</w:t>
      </w:r>
      <w:r>
        <w:rPr>
          <w:rFonts w:hint="eastAsia" w:ascii="微软雅黑" w:hAnsi="微软雅黑" w:eastAsia="微软雅黑" w:cs="微软雅黑"/>
          <w:sz w:val="21"/>
          <w:szCs w:val="21"/>
        </w:rPr>
        <w:t>）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阿里主营业务包括网络零售平台服务、零售及批发商业、物流服务、生活服务、云计算、数字媒体及娱乐、创新业务等。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2015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年全球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>营业额为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（略）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，中国境内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>营业额为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（略）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lang w:val="en-US" w:eastAsia="zh-CN" w:bidi="ar-SA"/>
        </w:rPr>
        <w:t>合营方二：浙江创新投资。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  <w:t>2013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年于浙江省杭州市注册成立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，最终控制人是浙江省金融控股有限公司（该公司为浙江省财政厅全资控股公司）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主要从事金融类股权投资、政府性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  <w:t>股权投资基金管理与资产管理业务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  <w:t>。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  <w:t>2015年全球和中国境内营业额均为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（略）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</w:rPr>
        <w:t>（二）交易概况。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1"/>
        <w:textAlignment w:val="auto"/>
        <w:outlineLvl w:val="9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本次交易系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设立合营企业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  <w:t>2016年7月，阿里创投、浙江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  <w:t>创新投资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  <w:t>与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杭州乐采云投资管理合伙企业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  <w:t>签署《股东协议》，三方分别出资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（略）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  <w:t>，共同设立合营企业政采云，分别持股46.75%、38.25%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  <w:t>和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  <w:t>15.00%，阿里创投与浙江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  <w:t>创新投资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  <w:t>共同控制政采云。2016年7月26日，合营企业取得营业执照。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二、违法事实及理由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</w:rPr>
        <w:t>（一）本案构成违法实施的经营者集中。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78" w:lineRule="exact"/>
        <w:ind w:firstLine="408" w:firstLineChars="200"/>
        <w:jc w:val="both"/>
        <w:textAlignment w:val="auto"/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《反垄断法》第二十条规定“经营者集中是指下列情形：（一）经营者合并；（二）经营者通过取得股权或者资产的方式取得对其他经营者的控制权；（三）经营者通过合同等方式取得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对其他经营者的控制权或者能够对其他经营者施加决定性影响”。该交易系设立合营企业，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  <w:t>阿里创投持股46.75%，浙江创新投资持股38.25%，共同控制合营企业，</w:t>
      </w: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属于《反垄断法》第二十条规定的经营者集中。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578" w:lineRule="exact"/>
        <w:ind w:left="0" w:firstLine="643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阿里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创投</w:t>
      </w:r>
      <w:r>
        <w:rPr>
          <w:rFonts w:hint="eastAsia" w:ascii="微软雅黑" w:hAnsi="微软雅黑" w:eastAsia="微软雅黑" w:cs="微软雅黑"/>
          <w:bCs/>
          <w:kern w:val="2"/>
          <w:sz w:val="21"/>
          <w:szCs w:val="21"/>
          <w:lang w:val="en-US" w:eastAsia="zh-CN" w:bidi="ar-SA"/>
        </w:rPr>
        <w:t>2015年全球营业额为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（略），中国境内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营业额为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（略）</w:t>
      </w:r>
      <w:r>
        <w:rPr>
          <w:rFonts w:hint="eastAsia" w:ascii="微软雅黑" w:hAnsi="微软雅黑" w:eastAsia="微软雅黑" w:cs="微软雅黑"/>
          <w:bCs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浙江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创新投资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u w:val="none"/>
          <w:lang w:val="en-US" w:eastAsia="zh-CN" w:bidi="ar-SA"/>
        </w:rPr>
        <w:t>2015年全球和中国境内营业额均为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（略）</w:t>
      </w:r>
      <w:r>
        <w:rPr>
          <w:rFonts w:hint="eastAsia" w:ascii="微软雅黑" w:hAnsi="微软雅黑" w:eastAsia="微软雅黑" w:cs="微软雅黑"/>
          <w:bCs/>
          <w:kern w:val="2"/>
          <w:sz w:val="21"/>
          <w:szCs w:val="21"/>
          <w:u w:val="none"/>
          <w:lang w:val="en-US" w:eastAsia="zh-CN" w:bidi="ar-SA"/>
        </w:rPr>
        <w:t>，达到《国务院关于经营者集中申报标准的规定》第三条规定的申报标准，属于应当申报的情形。</w:t>
      </w:r>
    </w:p>
    <w:p>
      <w:pPr>
        <w:pStyle w:val="5"/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78" w:lineRule="exact"/>
        <w:ind w:firstLine="408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《反垄断法》第二十一条规定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“经</w:t>
      </w:r>
      <w:r>
        <w:rPr>
          <w:rFonts w:hint="eastAsia" w:ascii="微软雅黑" w:hAnsi="微软雅黑" w:eastAsia="微软雅黑" w:cs="微软雅黑"/>
          <w:sz w:val="21"/>
          <w:szCs w:val="21"/>
        </w:rPr>
        <w:t>营者集中达到国</w:t>
      </w:r>
      <w:r>
        <w:rPr>
          <w:rFonts w:hint="eastAsia" w:ascii="微软雅黑" w:hAnsi="微软雅黑" w:eastAsia="微软雅黑" w:cs="微软雅黑"/>
          <w:bCs/>
          <w:kern w:val="2"/>
          <w:sz w:val="21"/>
          <w:szCs w:val="21"/>
          <w:u w:val="none"/>
          <w:lang w:val="en-US" w:eastAsia="zh-CN" w:bidi="ar-SA"/>
        </w:rPr>
        <w:t>务院规定的申报标准的，经营者应当事先向国务院反垄断执法机构申报，未申报的不得实施集中”。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201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日，</w:t>
      </w: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合营企业注册成立，</w:t>
      </w:r>
      <w:r>
        <w:rPr>
          <w:rFonts w:hint="eastAsia" w:ascii="微软雅黑" w:hAnsi="微软雅黑" w:eastAsia="微软雅黑" w:cs="微软雅黑"/>
          <w:bCs/>
          <w:kern w:val="2"/>
          <w:sz w:val="21"/>
          <w:szCs w:val="21"/>
          <w:u w:val="none"/>
          <w:lang w:val="en-US" w:eastAsia="zh-CN" w:bidi="ar-SA"/>
        </w:rPr>
        <w:t>在此之前未向本机关申报，违反《反垄断法》第二十一条，构成违法实施</w:t>
      </w:r>
      <w:r>
        <w:rPr>
          <w:rFonts w:hint="eastAsia" w:ascii="微软雅黑" w:hAnsi="微软雅黑" w:eastAsia="微软雅黑" w:cs="微软雅黑"/>
          <w:sz w:val="21"/>
          <w:szCs w:val="21"/>
        </w:rPr>
        <w:t>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</w:rPr>
        <w:t>（二）本案不具有排除、限制竞争的效果。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本机关就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eastAsia="zh-CN"/>
        </w:rPr>
        <w:t>阿里创投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与浙江创新投资设立合营企业政采云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对市场竞争的影响进行了评估，评估认为，该项经营者集中不会产生排除、限制竞争的效果。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三、行政处罚依据和决定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78" w:lineRule="exact"/>
        <w:ind w:firstLine="400" w:firstLineChars="196"/>
        <w:textAlignment w:val="auto"/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</w:rPr>
        <w:t>《反垄断法》第四十八条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  <w:t>规定“经营者违反本法规定实施集中的，由国务院反垄断执法机构责令停止实施集中、限期处分股份或者资产、限期转让营业以及采取其他必要措施恢复到集中前的状态，可以处五十万元以下的罚款”。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</w:rPr>
        <w:t>《反垄断法》第四十九条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  <w:t>规定“对本法第四十六条、第四十七条、第四十八条规定的罚款，反垄断执法机构确定具体罚款数额时，应当考虑违法行为的性质、程度和持续的时间等因素”。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</w:rPr>
        <w:t>根据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  <w:t>上述规定，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</w:rPr>
        <w:t>基于调查情况和评估结论，本机关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  <w:t>决定分别给予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eastAsia="zh-CN"/>
        </w:rPr>
        <w:t>阿里创投和浙江创新投资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</w:rPr>
        <w:t>0万元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  <w:t>罚款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</w:rPr>
        <w:t>的行政处罚。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《行政处罚法》第四十六条规定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eastAsia="zh-CN"/>
        </w:rPr>
        <w:t>“作出罚款决定的行政机关应当与收缴罚款的机构分离。除依照本法第四十七条、第四十八条的规定当场收缴的罚款外，作出行政处罚决定的行政机关及其执法人员不得自行收缴罚款。当事人应当自收到行政处罚决定书之日起十五日内，到指定的银行缴纳罚款。银行应当收受罚款，并将罚款直接上缴国库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eastAsia="zh-CN"/>
        </w:rPr>
        <w:t>当事人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应当自收到本行政处罚决定书之日起十五日内，根据本行政处罚决定书，携缴款码到12家中央财政非税收入收缴代理银行（工、农、中、建、交、中信、光大、招商、邮储、华夏、平安、兴业）任一银行网点或者网上银行交纳罚款。缴款码：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eastAsia="zh-CN"/>
        </w:rPr>
        <w:t>阿里创投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  <w:lang w:val="en-US" w:eastAsia="zh-CN"/>
        </w:rPr>
        <w:t>0000002101210875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  <w:lang w:val="en-US" w:eastAsia="zh-CN"/>
        </w:rPr>
        <w:t>；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  <w:lang w:val="en-US" w:eastAsia="zh-CN"/>
        </w:rPr>
        <w:t>浙江创新投资0000002101210912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eastAsia="zh-CN"/>
        </w:rPr>
        <w:t>当事人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 xml:space="preserve">如对上述行政处罚决定不服，可以自收到本行政处罚决定书之日起六十日内，向国家市场监督管理总局申请行政复议；或者自收到本行政处罚决定书之日起六个月内，依法向人民法院提起行政诉讼。行政复议或者行政诉讼期间，本行政处罚决定不停止执行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78" w:lineRule="exact"/>
        <w:ind w:firstLine="3530" w:firstLineChars="173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市场监管总局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78" w:lineRule="exact"/>
        <w:ind w:firstLine="3395" w:firstLineChars="1664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202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78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（此件公开发布）</w:t>
      </w:r>
    </w:p>
    <w:bookmarkEnd w:id="0"/>
    <w:sectPr>
      <w:footerReference r:id="rId3" w:type="default"/>
      <w:footerReference r:id="rId4" w:type="even"/>
      <w:pgSz w:w="11906" w:h="16838"/>
      <w:pgMar w:top="2098" w:right="1474" w:bottom="1985" w:left="1474" w:header="851" w:footer="1814" w:gutter="0"/>
      <w:cols w:space="720" w:num="1"/>
      <w:docGrid w:type="linesAndChars" w:linePitch="289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70B1"/>
    <w:rsid w:val="05D15580"/>
    <w:rsid w:val="075F674C"/>
    <w:rsid w:val="09A8584A"/>
    <w:rsid w:val="09AC08F5"/>
    <w:rsid w:val="0BC66AE1"/>
    <w:rsid w:val="132D1394"/>
    <w:rsid w:val="13F85EFD"/>
    <w:rsid w:val="16657401"/>
    <w:rsid w:val="169767E4"/>
    <w:rsid w:val="173B2FCB"/>
    <w:rsid w:val="18DB1E51"/>
    <w:rsid w:val="192053EE"/>
    <w:rsid w:val="1A156921"/>
    <w:rsid w:val="1B095395"/>
    <w:rsid w:val="1B3B0BF1"/>
    <w:rsid w:val="1D3570B1"/>
    <w:rsid w:val="1F573D93"/>
    <w:rsid w:val="21623065"/>
    <w:rsid w:val="239A0124"/>
    <w:rsid w:val="265326DA"/>
    <w:rsid w:val="28C8606C"/>
    <w:rsid w:val="29171A1E"/>
    <w:rsid w:val="2D37006C"/>
    <w:rsid w:val="30CC3E37"/>
    <w:rsid w:val="31E778A8"/>
    <w:rsid w:val="33B94AAA"/>
    <w:rsid w:val="38043EF0"/>
    <w:rsid w:val="3A360326"/>
    <w:rsid w:val="4297136E"/>
    <w:rsid w:val="42CE6C82"/>
    <w:rsid w:val="44F1186A"/>
    <w:rsid w:val="49513DE5"/>
    <w:rsid w:val="49F75885"/>
    <w:rsid w:val="4ABC40B8"/>
    <w:rsid w:val="4D8644D7"/>
    <w:rsid w:val="4EF957B9"/>
    <w:rsid w:val="4EFD73AF"/>
    <w:rsid w:val="50FD22A0"/>
    <w:rsid w:val="51075873"/>
    <w:rsid w:val="52A77C54"/>
    <w:rsid w:val="59E72D1F"/>
    <w:rsid w:val="5BDD2331"/>
    <w:rsid w:val="5C686AC3"/>
    <w:rsid w:val="5D4E6DD5"/>
    <w:rsid w:val="630535E1"/>
    <w:rsid w:val="63432760"/>
    <w:rsid w:val="640E6FE8"/>
    <w:rsid w:val="65A1257C"/>
    <w:rsid w:val="66434422"/>
    <w:rsid w:val="68197930"/>
    <w:rsid w:val="686D740E"/>
    <w:rsid w:val="68C02109"/>
    <w:rsid w:val="6AEF6C58"/>
    <w:rsid w:val="6F712D0C"/>
    <w:rsid w:val="7073388E"/>
    <w:rsid w:val="799C3559"/>
    <w:rsid w:val="7A782B89"/>
    <w:rsid w:val="7D641176"/>
    <w:rsid w:val="7EAA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exact"/>
      <w:ind w:firstLine="420" w:firstLineChars="200"/>
    </w:pPr>
    <w:rPr>
      <w:szCs w:val="20"/>
    </w:r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内容"/>
    <w:basedOn w:val="1"/>
    <w:qFormat/>
    <w:uiPriority w:val="0"/>
    <w:pPr>
      <w:suppressAutoHyphens/>
      <w:overflowPunct w:val="0"/>
      <w:autoSpaceDE w:val="0"/>
      <w:autoSpaceDN w:val="0"/>
      <w:adjustRightInd w:val="0"/>
      <w:spacing w:line="360" w:lineRule="auto"/>
      <w:ind w:firstLine="20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2020-12-10T02:26:00Z</dcterms:created>
  <dc:creator>徐霄飞</dc:creator>
  <cp:lastModifiedBy>陈永仁</cp:lastModifiedBy>
  <cp:lastPrinted>2021-07-02T02:04:00Z</cp:lastPrinted>
  <dcterms:modified xsi:type="dcterms:W3CDTF">2021-07-10T13:56:54Z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234C08348033460EB845FF1D98670EE2</vt:lpwstr>
  </property>
</Properties>
</file>