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bCs/>
          <w:color w:val="000000"/>
          <w:kern w:val="2"/>
          <w:sz w:val="21"/>
          <w:szCs w:val="21"/>
        </w:rPr>
      </w:pPr>
      <w:bookmarkStart w:id="0" w:name="_GoBack"/>
      <w:r>
        <w:rPr>
          <w:rFonts w:hint="eastAsia" w:ascii="微软雅黑" w:hAnsi="微软雅黑" w:eastAsia="微软雅黑" w:cs="微软雅黑"/>
          <w:bCs/>
          <w:color w:val="000000"/>
          <w:spacing w:val="202"/>
          <w:kern w:val="0"/>
          <w:sz w:val="21"/>
          <w:szCs w:val="21"/>
          <w:fitText w:val="5742" w:id="276194570"/>
        </w:rPr>
        <w:t>国家市场监督管理总</w:t>
      </w:r>
      <w:r>
        <w:rPr>
          <w:rFonts w:hint="eastAsia" w:ascii="微软雅黑" w:hAnsi="微软雅黑" w:eastAsia="微软雅黑" w:cs="微软雅黑"/>
          <w:bCs/>
          <w:color w:val="000000"/>
          <w:spacing w:val="3"/>
          <w:kern w:val="0"/>
          <w:sz w:val="21"/>
          <w:szCs w:val="21"/>
          <w:fitText w:val="5742" w:id="276194570"/>
        </w:rPr>
        <w:t>局</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60</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bCs/>
          <w:color w:val="000000"/>
          <w:sz w:val="21"/>
          <w:szCs w:val="21"/>
          <w:lang w:eastAsia="zh-CN"/>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bCs/>
          <w:color w:val="000000"/>
          <w:sz w:val="21"/>
          <w:szCs w:val="21"/>
          <w:lang w:eastAsia="zh-CN"/>
        </w:rPr>
        <w:t>腾讯控股有限公司</w:t>
      </w:r>
    </w:p>
    <w:p>
      <w:pPr>
        <w:pStyle w:val="2"/>
        <w:keepNext w:val="0"/>
        <w:keepLines w:val="0"/>
        <w:pageBreakBefore w:val="0"/>
        <w:widowControl w:val="0"/>
        <w:kinsoku/>
        <w:wordWrap/>
        <w:topLinePunct w:val="0"/>
        <w:bidi w:val="0"/>
        <w:spacing w:line="594" w:lineRule="exact"/>
        <w:textAlignment w:val="auto"/>
        <w:rPr>
          <w:rFonts w:hint="eastAsia" w:ascii="微软雅黑" w:hAnsi="微软雅黑" w:eastAsia="微软雅黑" w:cs="微软雅黑"/>
          <w:bCs/>
          <w:color w:val="000000"/>
          <w:sz w:val="21"/>
          <w:szCs w:val="21"/>
          <w:lang w:eastAsia="zh-CN"/>
        </w:rPr>
      </w:pPr>
      <w:r>
        <w:rPr>
          <w:rFonts w:hint="eastAsia" w:ascii="微软雅黑" w:hAnsi="微软雅黑" w:eastAsia="微软雅黑" w:cs="微软雅黑"/>
          <w:kern w:val="2"/>
          <w:sz w:val="21"/>
          <w:szCs w:val="21"/>
        </w:rPr>
        <w:t>住  所：</w:t>
      </w:r>
      <w:r>
        <w:rPr>
          <w:rFonts w:hint="eastAsia" w:ascii="微软雅黑" w:hAnsi="微软雅黑" w:eastAsia="微软雅黑" w:cs="微软雅黑"/>
          <w:bCs/>
          <w:color w:val="000000"/>
          <w:sz w:val="21"/>
          <w:szCs w:val="21"/>
          <w:lang w:eastAsia="zh-CN"/>
        </w:rPr>
        <w:t>开曼群岛哈金斯大道克里奇广场</w:t>
      </w:r>
    </w:p>
    <w:p>
      <w:pPr>
        <w:pStyle w:val="3"/>
        <w:keepNext w:val="0"/>
        <w:keepLines w:val="0"/>
        <w:pageBreakBefore w:val="0"/>
        <w:widowControl w:val="0"/>
        <w:kinsoku/>
        <w:wordWrap/>
        <w:topLinePunct w:val="0"/>
        <w:bidi w:val="0"/>
        <w:spacing w:after="0" w:line="594" w:lineRule="exact"/>
        <w:textAlignment w:val="auto"/>
        <w:outlineLvl w:val="9"/>
        <w:rPr>
          <w:rFonts w:hint="eastAsia" w:ascii="微软雅黑" w:hAnsi="微软雅黑" w:eastAsia="微软雅黑" w:cs="微软雅黑"/>
          <w:kern w:val="2"/>
          <w:sz w:val="21"/>
          <w:szCs w:val="21"/>
          <w:lang w:val="en-US"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根据《</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反垄断法》</w:t>
      </w:r>
      <w:r>
        <w:rPr>
          <w:rFonts w:hint="eastAsia" w:ascii="微软雅黑" w:hAnsi="微软雅黑" w:eastAsia="微软雅黑" w:cs="微软雅黑"/>
          <w:sz w:val="21"/>
          <w:szCs w:val="21"/>
          <w:lang w:eastAsia="zh-CN"/>
        </w:rPr>
        <w:t>（以下简称《反垄断法》）、</w:t>
      </w:r>
      <w:r>
        <w:rPr>
          <w:rFonts w:hint="eastAsia" w:ascii="微软雅黑" w:hAnsi="微软雅黑" w:eastAsia="微软雅黑" w:cs="微软雅黑"/>
          <w:kern w:val="2"/>
          <w:sz w:val="21"/>
          <w:szCs w:val="21"/>
          <w:lang w:eastAsia="zh-CN"/>
        </w:rPr>
        <w:t>《经营者集中审查暂行规定》</w:t>
      </w:r>
      <w:r>
        <w:rPr>
          <w:rFonts w:hint="eastAsia" w:ascii="微软雅黑" w:hAnsi="微软雅黑" w:eastAsia="微软雅黑" w:cs="微软雅黑"/>
          <w:kern w:val="2"/>
          <w:sz w:val="21"/>
          <w:szCs w:val="21"/>
        </w:rPr>
        <w:t>，本机关于</w:t>
      </w:r>
      <w:r>
        <w:rPr>
          <w:rFonts w:hint="eastAsia" w:ascii="微软雅黑" w:hAnsi="微软雅黑" w:eastAsia="微软雅黑" w:cs="微软雅黑"/>
          <w:sz w:val="21"/>
          <w:szCs w:val="21"/>
          <w:lang w:val="en-US" w:eastAsia="zh-CN"/>
        </w:rPr>
        <w:t>2021年4月12日</w:t>
      </w:r>
      <w:r>
        <w:rPr>
          <w:rFonts w:hint="eastAsia" w:ascii="微软雅黑" w:hAnsi="微软雅黑" w:eastAsia="微软雅黑" w:cs="微软雅黑"/>
          <w:kern w:val="2"/>
          <w:sz w:val="21"/>
          <w:szCs w:val="21"/>
        </w:rPr>
        <w:t>对</w:t>
      </w:r>
      <w:r>
        <w:rPr>
          <w:rFonts w:hint="eastAsia" w:ascii="微软雅黑" w:hAnsi="微软雅黑" w:eastAsia="微软雅黑" w:cs="微软雅黑"/>
          <w:sz w:val="21"/>
          <w:szCs w:val="21"/>
          <w:lang w:eastAsia="zh-CN"/>
        </w:rPr>
        <w:t>腾讯控股有限公司（以下简称腾讯）收购</w:t>
      </w:r>
      <w:r>
        <w:rPr>
          <w:rFonts w:hint="eastAsia" w:ascii="微软雅黑" w:hAnsi="微软雅黑" w:eastAsia="微软雅黑" w:cs="微软雅黑"/>
          <w:b w:val="0"/>
          <w:bCs w:val="0"/>
          <w:kern w:val="2"/>
          <w:sz w:val="21"/>
          <w:szCs w:val="21"/>
          <w:lang w:val="en-US" w:eastAsia="zh-CN" w:bidi="ar-SA"/>
        </w:rPr>
        <w:t>Kingsoft Internet Security Software Holdings Limited</w:t>
      </w:r>
      <w:r>
        <w:rPr>
          <w:rFonts w:hint="eastAsia" w:ascii="微软雅黑" w:hAnsi="微软雅黑" w:eastAsia="微软雅黑" w:cs="微软雅黑"/>
          <w:sz w:val="21"/>
          <w:szCs w:val="21"/>
          <w:lang w:eastAsia="zh-CN"/>
        </w:rPr>
        <w:t>（以下简称猎豹移动）</w:t>
      </w:r>
      <w:r>
        <w:rPr>
          <w:rFonts w:hint="eastAsia" w:ascii="微软雅黑" w:hAnsi="微软雅黑" w:eastAsia="微软雅黑" w:cs="微软雅黑"/>
          <w:sz w:val="21"/>
          <w:szCs w:val="21"/>
        </w:rPr>
        <w:t>股权涉嫌</w:t>
      </w:r>
      <w:r>
        <w:rPr>
          <w:rFonts w:hint="eastAsia" w:ascii="微软雅黑" w:hAnsi="微软雅黑" w:eastAsia="微软雅黑" w:cs="微软雅黑"/>
          <w:sz w:val="21"/>
          <w:szCs w:val="21"/>
          <w:lang w:eastAsia="zh-CN"/>
        </w:rPr>
        <w:t>违法实施经营者集中</w:t>
      </w:r>
      <w:r>
        <w:rPr>
          <w:rFonts w:hint="eastAsia" w:ascii="微软雅黑" w:hAnsi="微软雅黑" w:eastAsia="微软雅黑" w:cs="微软雅黑"/>
          <w:sz w:val="21"/>
          <w:szCs w:val="21"/>
        </w:rPr>
        <w:t>案</w:t>
      </w:r>
      <w:r>
        <w:rPr>
          <w:rFonts w:hint="eastAsia" w:ascii="微软雅黑" w:hAnsi="微软雅黑" w:eastAsia="微软雅黑" w:cs="微软雅黑"/>
          <w:kern w:val="2"/>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经查，该案构成违法实施的经营者集中，但不具有排除、限制竞争的效果。本机关按照《</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rPr>
        <w:t>的规定，向</w:t>
      </w:r>
      <w:r>
        <w:rPr>
          <w:rFonts w:hint="eastAsia" w:ascii="微软雅黑" w:hAnsi="微软雅黑" w:eastAsia="微软雅黑" w:cs="微软雅黑"/>
          <w:sz w:val="21"/>
          <w:szCs w:val="21"/>
          <w:lang w:eastAsia="zh-CN"/>
        </w:rPr>
        <w:t>腾讯</w:t>
      </w:r>
      <w:r>
        <w:rPr>
          <w:rFonts w:hint="eastAsia" w:ascii="微软雅黑" w:hAnsi="微软雅黑" w:eastAsia="微软雅黑" w:cs="微软雅黑"/>
          <w:kern w:val="2"/>
          <w:sz w:val="21"/>
          <w:szCs w:val="21"/>
        </w:rPr>
        <w:t>送达了《行政处罚告知书》，告知其拟作出行政处罚决定的事实、理由、证据、处罚内容，以及其依法享有的陈述权、申辩权和要求听证权。</w:t>
      </w:r>
      <w:r>
        <w:rPr>
          <w:rFonts w:hint="eastAsia" w:ascii="微软雅黑" w:hAnsi="微软雅黑" w:eastAsia="微软雅黑" w:cs="微软雅黑"/>
          <w:sz w:val="21"/>
          <w:szCs w:val="21"/>
          <w:lang w:eastAsia="zh-CN"/>
        </w:rPr>
        <w:t>腾讯</w:t>
      </w:r>
      <w:r>
        <w:rPr>
          <w:rFonts w:hint="eastAsia" w:ascii="微软雅黑" w:hAnsi="微软雅黑" w:eastAsia="微软雅黑" w:cs="微软雅黑"/>
          <w:kern w:val="2"/>
          <w:sz w:val="21"/>
          <w:szCs w:val="21"/>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b w:val="0"/>
          <w:bCs w:val="0"/>
          <w:kern w:val="2"/>
          <w:sz w:val="21"/>
          <w:szCs w:val="21"/>
        </w:rPr>
      </w:pPr>
      <w:r>
        <w:rPr>
          <w:rFonts w:hint="eastAsia" w:ascii="微软雅黑" w:hAnsi="微软雅黑" w:eastAsia="微软雅黑" w:cs="微软雅黑"/>
          <w:b w:val="0"/>
          <w:bCs w:val="0"/>
          <w:kern w:val="2"/>
          <w:sz w:val="21"/>
          <w:szCs w:val="21"/>
        </w:rPr>
        <w:t>（一）交易方。</w:t>
      </w:r>
    </w:p>
    <w:p>
      <w:pPr>
        <w:pStyle w:val="8"/>
        <w:keepNext w:val="0"/>
        <w:keepLines w:val="0"/>
        <w:pageBreakBefore w:val="0"/>
        <w:widowControl w:val="0"/>
        <w:kinsoku/>
        <w:wordWrap/>
        <w:topLinePunct w:val="0"/>
        <w:bidi w:val="0"/>
        <w:snapToGrid/>
        <w:spacing w:line="594" w:lineRule="exact"/>
        <w:ind w:firstLine="643"/>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b w:val="0"/>
          <w:bCs w:val="0"/>
          <w:sz w:val="21"/>
          <w:szCs w:val="21"/>
          <w:lang w:eastAsia="zh-CN"/>
        </w:rPr>
        <w:t>收购方：腾讯。</w:t>
      </w:r>
      <w:r>
        <w:rPr>
          <w:rFonts w:hint="eastAsia" w:ascii="微软雅黑" w:hAnsi="微软雅黑" w:eastAsia="微软雅黑" w:cs="微软雅黑"/>
          <w:sz w:val="21"/>
          <w:szCs w:val="21"/>
          <w:lang w:val="en-US" w:eastAsia="zh-CN"/>
        </w:rPr>
        <w:t>1999</w:t>
      </w:r>
      <w:r>
        <w:rPr>
          <w:rFonts w:hint="eastAsia" w:ascii="微软雅黑" w:hAnsi="微软雅黑" w:eastAsia="微软雅黑" w:cs="微软雅黑"/>
          <w:sz w:val="21"/>
          <w:szCs w:val="21"/>
          <w:lang w:eastAsia="zh-CN"/>
        </w:rPr>
        <w:t>年</w:t>
      </w:r>
      <w:r>
        <w:rPr>
          <w:rFonts w:hint="eastAsia" w:ascii="微软雅黑" w:hAnsi="微软雅黑" w:eastAsia="微软雅黑" w:cs="微软雅黑"/>
          <w:sz w:val="21"/>
          <w:szCs w:val="21"/>
          <w:lang w:val="en-US" w:eastAsia="zh-CN"/>
        </w:rPr>
        <w:t>11月于</w:t>
      </w:r>
      <w:r>
        <w:rPr>
          <w:rFonts w:hint="eastAsia" w:ascii="微软雅黑" w:hAnsi="微软雅黑" w:eastAsia="微软雅黑" w:cs="微软雅黑"/>
          <w:kern w:val="2"/>
          <w:sz w:val="21"/>
          <w:szCs w:val="21"/>
          <w:lang w:val="en-US" w:eastAsia="zh-CN" w:bidi="ar-SA"/>
        </w:rPr>
        <w:t>英属维尔京群岛注册成立，2004年2月迁册至英属开曼群岛，2004年6月在香港联交所上市，通过协议控制境内主要运营实体深圳市腾讯计算机系统有限公司。主要业务包括社交和通信服务、社交网络平台、游戏、网络视频服务、互动娱乐直播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2010年全球</w:t>
      </w:r>
      <w:r>
        <w:rPr>
          <w:rFonts w:hint="eastAsia" w:ascii="微软雅黑" w:hAnsi="微软雅黑" w:eastAsia="微软雅黑" w:cs="微软雅黑"/>
          <w:sz w:val="21"/>
          <w:szCs w:val="21"/>
          <w:highlight w:val="none"/>
          <w:lang w:val="en-US" w:eastAsia="zh-CN"/>
        </w:rPr>
        <w:t>营业额为</w:t>
      </w:r>
      <w:r>
        <w:rPr>
          <w:rFonts w:hint="eastAsia" w:ascii="微软雅黑" w:hAnsi="微软雅黑" w:eastAsia="微软雅黑" w:cs="微软雅黑"/>
          <w:sz w:val="21"/>
          <w:szCs w:val="21"/>
          <w:lang w:val="en-US" w:eastAsia="zh-CN"/>
        </w:rPr>
        <w:t>（略），中国境内</w:t>
      </w:r>
      <w:r>
        <w:rPr>
          <w:rFonts w:hint="eastAsia" w:ascii="微软雅黑" w:hAnsi="微软雅黑" w:eastAsia="微软雅黑" w:cs="微软雅黑"/>
          <w:sz w:val="21"/>
          <w:szCs w:val="21"/>
          <w:highlight w:val="none"/>
          <w:lang w:val="en-US" w:eastAsia="zh-CN"/>
        </w:rPr>
        <w:t>营业额为</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sz w:val="21"/>
          <w:szCs w:val="21"/>
          <w:lang w:val="en-US" w:eastAsia="zh-CN"/>
        </w:rPr>
        <w:t>。</w:t>
      </w:r>
    </w:p>
    <w:p>
      <w:pPr>
        <w:keepNext w:val="0"/>
        <w:keepLines w:val="0"/>
        <w:pageBreakBefore w:val="0"/>
        <w:widowControl w:val="0"/>
        <w:kinsoku/>
        <w:wordWrap/>
        <w:topLinePunct w:val="0"/>
        <w:bidi w:val="0"/>
        <w:snapToGrid/>
        <w:spacing w:line="594" w:lineRule="exact"/>
        <w:ind w:firstLine="408" w:firstLineChars="200"/>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b w:val="0"/>
          <w:bCs w:val="0"/>
          <w:kern w:val="2"/>
          <w:sz w:val="21"/>
          <w:szCs w:val="21"/>
          <w:lang w:val="en-US" w:eastAsia="zh-CN" w:bidi="ar-SA"/>
        </w:rPr>
        <w:t>被收购方：猎豹移动。</w:t>
      </w:r>
      <w:r>
        <w:rPr>
          <w:rFonts w:hint="eastAsia" w:ascii="微软雅黑" w:hAnsi="微软雅黑" w:eastAsia="微软雅黑" w:cs="微软雅黑"/>
          <w:kern w:val="2"/>
          <w:sz w:val="21"/>
          <w:szCs w:val="21"/>
          <w:lang w:val="en-US" w:eastAsia="zh-CN" w:bidi="ar-SA"/>
        </w:rPr>
        <w:t>2009年7月于开曼群岛注册成立，主要从事移动软件、工具应用开发业务，核心业务为PC安全业务。其最终控制人Kingsoft Corporation Limited主要从事网络游戏、移动电话游戏、互联网安全、词典及办公室应用软件产品的研究、开发、经营及分销业务。猎豹移动2010年全球营业额为（略），中国境内营业额为（略）。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b w:val="0"/>
          <w:bCs w:val="0"/>
          <w:kern w:val="2"/>
          <w:sz w:val="21"/>
          <w:szCs w:val="21"/>
        </w:rPr>
      </w:pPr>
      <w:r>
        <w:rPr>
          <w:rFonts w:hint="eastAsia" w:ascii="微软雅黑" w:hAnsi="微软雅黑" w:eastAsia="微软雅黑" w:cs="微软雅黑"/>
          <w:b w:val="0"/>
          <w:bCs w:val="0"/>
          <w:kern w:val="2"/>
          <w:sz w:val="21"/>
          <w:szCs w:val="21"/>
        </w:rPr>
        <w:t>（二）交易概况。</w:t>
      </w:r>
    </w:p>
    <w:p>
      <w:pPr>
        <w:pStyle w:val="8"/>
        <w:keepNext w:val="0"/>
        <w:keepLines w:val="0"/>
        <w:pageBreakBefore w:val="0"/>
        <w:widowControl w:val="0"/>
        <w:kinsoku/>
        <w:wordWrap/>
        <w:topLinePunct w:val="0"/>
        <w:bidi w:val="0"/>
        <w:spacing w:line="594" w:lineRule="exact"/>
        <w:ind w:left="0" w:firstLine="640"/>
        <w:textAlignment w:val="auto"/>
        <w:outlineLvl w:val="9"/>
        <w:rPr>
          <w:rFonts w:hint="eastAsia" w:ascii="微软雅黑" w:hAnsi="微软雅黑" w:eastAsia="微软雅黑" w:cs="微软雅黑"/>
          <w:bCs/>
          <w:sz w:val="21"/>
          <w:szCs w:val="21"/>
          <w:lang w:eastAsia="zh-CN"/>
        </w:rPr>
      </w:pPr>
      <w:r>
        <w:rPr>
          <w:rFonts w:hint="eastAsia" w:ascii="微软雅黑" w:hAnsi="微软雅黑" w:eastAsia="微软雅黑" w:cs="微软雅黑"/>
          <w:kern w:val="2"/>
          <w:sz w:val="21"/>
          <w:szCs w:val="21"/>
          <w:lang w:val="en-US" w:eastAsia="zh-CN" w:bidi="ar-SA"/>
        </w:rPr>
        <w:t>本交易系股权收购。2011年7月，腾讯通过其控股子公司TCH Copper Limited（以下简称TCH）与FaX Vision（股份出让方）签订股份转让协议，以现金方式获得猎豹移动1500万股普通股，同日，TCH以现金方式另认购猎豹移动95240964股A轮优先股，合计收购猎豹移动10%股份。2011年7月7日完成股权交割。</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b w:val="0"/>
          <w:bCs w:val="0"/>
          <w:kern w:val="2"/>
          <w:sz w:val="21"/>
          <w:szCs w:val="21"/>
        </w:rPr>
      </w:pPr>
      <w:r>
        <w:rPr>
          <w:rFonts w:hint="eastAsia" w:ascii="微软雅黑" w:hAnsi="微软雅黑" w:eastAsia="微软雅黑" w:cs="微软雅黑"/>
          <w:b w:val="0"/>
          <w:bCs w:val="0"/>
          <w:kern w:val="2"/>
          <w:sz w:val="21"/>
          <w:szCs w:val="21"/>
        </w:rPr>
        <w:t>（一）本案构成违法实施的经营者集中。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left="0" w:firstLine="408" w:firstLineChars="200"/>
        <w:textAlignment w:val="auto"/>
        <w:outlineLvl w:val="9"/>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反垄断法》第二十条规定“经营者集中是指下列情形：（一）经营者合并；（二）经营者通过取得股权或者资产的方式取得对其他经营者的控制权；（三）经营者通过合同等方式取得对其他经营者的控制权或者能够对其他经营者施加决定性影响”。2011年7月，腾讯合计认购猎豹移动10%的股权并取得控制权。属于《反垄断法》第二十条规定的经营者集中。</w:t>
      </w:r>
    </w:p>
    <w:p>
      <w:pPr>
        <w:keepNext w:val="0"/>
        <w:keepLines w:val="0"/>
        <w:pageBreakBefore w:val="0"/>
        <w:widowControl w:val="0"/>
        <w:kinsoku/>
        <w:wordWrap/>
        <w:topLinePunct w:val="0"/>
        <w:bidi w:val="0"/>
        <w:spacing w:line="594" w:lineRule="exact"/>
        <w:ind w:firstLine="408" w:firstLineChars="200"/>
        <w:jc w:val="both"/>
        <w:textAlignment w:val="auto"/>
        <w:outlineLvl w:val="9"/>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腾讯2010年度全球营业额为（略），中国境内营业额为（略）；猎豹移动2010年度全球营业额为（略），中国境内营业额为（略），达到《国务院关于经营者集中申报标准的规定》第三条规定的申报标准，属于应当申报的情形。</w:t>
      </w:r>
    </w:p>
    <w:p>
      <w:pPr>
        <w:keepNext w:val="0"/>
        <w:keepLines w:val="0"/>
        <w:pageBreakBefore w:val="0"/>
        <w:widowControl w:val="0"/>
        <w:kinsoku/>
        <w:wordWrap/>
        <w:topLinePunct w:val="0"/>
        <w:bidi w:val="0"/>
        <w:spacing w:line="594" w:lineRule="exact"/>
        <w:ind w:firstLine="400" w:firstLineChars="196"/>
        <w:textAlignment w:val="auto"/>
        <w:outlineLvl w:val="9"/>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反垄断法》第二十一条规定“经营者集中达到国务院规定的申报标准的，经营者应当事先向国务院反垄断执法机构申报，未申报的不得实施集中”。本交易2011年7月7日完成股权交割。在此之前未向本机关申报，违反《反垄断法》第二十一条，构成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b w:val="0"/>
          <w:bCs w:val="0"/>
          <w:kern w:val="2"/>
          <w:sz w:val="21"/>
          <w:szCs w:val="21"/>
        </w:rPr>
      </w:pPr>
      <w:r>
        <w:rPr>
          <w:rFonts w:hint="eastAsia" w:ascii="微软雅黑" w:hAnsi="微软雅黑" w:eastAsia="微软雅黑" w:cs="微软雅黑"/>
          <w:b w:val="0"/>
          <w:bCs w:val="0"/>
          <w:kern w:val="2"/>
          <w:sz w:val="21"/>
          <w:szCs w:val="21"/>
        </w:rPr>
        <w:t>（二）本案不具有排除、限制竞争的效果。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SA"/>
        </w:rPr>
        <w:t>本机关就腾讯收购猎豹移动股权对市场竞争的影响进行了评估，评估认为，该项经营者集中不会产生排除、限制竞争的效果</w:t>
      </w:r>
      <w:r>
        <w:rPr>
          <w:rFonts w:hint="eastAsia" w:ascii="微软雅黑" w:hAnsi="微软雅黑" w:eastAsia="微软雅黑" w:cs="微软雅黑"/>
          <w:kern w:val="2"/>
          <w:sz w:val="21"/>
          <w:szCs w:val="21"/>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594" w:lineRule="exact"/>
        <w:ind w:firstLine="400" w:firstLineChars="196"/>
        <w:textAlignment w:val="auto"/>
        <w:outlineLvl w:val="9"/>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w:t>
      </w:r>
      <w:r>
        <w:rPr>
          <w:rFonts w:hint="eastAsia" w:ascii="微软雅黑" w:hAnsi="微软雅黑" w:eastAsia="微软雅黑" w:cs="微软雅黑"/>
          <w:kern w:val="2"/>
          <w:sz w:val="21"/>
          <w:szCs w:val="21"/>
          <w:lang w:val="en-US" w:eastAsia="zh-CN" w:bidi="ar-SA"/>
        </w:rPr>
        <w:t>反垄断法》第四十八条规定“经营者违反本法规定实施集中的，由国务院反垄断执法机构责令停止实施集中、限期处分股份或者资产、限期转让营业以及采取其他必要措施恢复到集中前的状态，可以处五十万元以下的罚款”。《反垄断法》第四十九条规定“对本法第四十六条、第四十七条、第四十八条规定的罚款，反垄断执法机构确定具体罚款数额时，应当考虑违法行为的性质、程度和持续的时间等因素”</w:t>
      </w:r>
      <w:r>
        <w:rPr>
          <w:rFonts w:hint="eastAsia" w:ascii="微软雅黑" w:hAnsi="微软雅黑" w:eastAsia="微软雅黑" w:cs="微软雅黑"/>
          <w:bCs/>
          <w:color w:val="000000"/>
          <w:kern w:val="2"/>
          <w:sz w:val="21"/>
          <w:szCs w:val="21"/>
          <w:lang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bCs/>
          <w:color w:val="000000"/>
          <w:kern w:val="2"/>
          <w:sz w:val="21"/>
          <w:szCs w:val="21"/>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bCs/>
          <w:color w:val="000000"/>
          <w:kern w:val="2"/>
          <w:sz w:val="21"/>
          <w:szCs w:val="21"/>
        </w:rPr>
        <w:t>基于调查情况和评估结论，本机关</w:t>
      </w:r>
      <w:r>
        <w:rPr>
          <w:rFonts w:hint="eastAsia" w:ascii="微软雅黑" w:hAnsi="微软雅黑" w:eastAsia="微软雅黑" w:cs="微软雅黑"/>
          <w:bCs/>
          <w:color w:val="000000"/>
          <w:kern w:val="2"/>
          <w:sz w:val="21"/>
          <w:szCs w:val="21"/>
          <w:lang w:eastAsia="zh-CN"/>
        </w:rPr>
        <w:t>给予</w:t>
      </w:r>
      <w:r>
        <w:rPr>
          <w:rFonts w:hint="eastAsia" w:ascii="微软雅黑" w:hAnsi="微软雅黑" w:eastAsia="微软雅黑" w:cs="微软雅黑"/>
          <w:sz w:val="21"/>
          <w:szCs w:val="21"/>
          <w:lang w:eastAsia="zh-CN"/>
        </w:rPr>
        <w:t>腾讯</w:t>
      </w:r>
      <w:r>
        <w:rPr>
          <w:rFonts w:hint="eastAsia" w:ascii="微软雅黑" w:hAnsi="微软雅黑" w:eastAsia="微软雅黑" w:cs="微软雅黑"/>
          <w:bCs/>
          <w:sz w:val="21"/>
          <w:szCs w:val="21"/>
          <w:lang w:val="en-US" w:eastAsia="zh-CN"/>
        </w:rPr>
        <w:t>5</w:t>
      </w:r>
      <w:r>
        <w:rPr>
          <w:rFonts w:hint="eastAsia" w:ascii="微软雅黑" w:hAnsi="微软雅黑" w:eastAsia="微软雅黑" w:cs="微软雅黑"/>
          <w:bCs/>
          <w:color w:val="000000"/>
          <w:kern w:val="2"/>
          <w:sz w:val="21"/>
          <w:szCs w:val="21"/>
        </w:rPr>
        <w:t>0万元</w:t>
      </w:r>
      <w:r>
        <w:rPr>
          <w:rFonts w:hint="eastAsia" w:ascii="微软雅黑" w:hAnsi="微软雅黑" w:eastAsia="微软雅黑" w:cs="微软雅黑"/>
          <w:bCs/>
          <w:color w:val="000000"/>
          <w:kern w:val="2"/>
          <w:sz w:val="21"/>
          <w:szCs w:val="21"/>
          <w:lang w:eastAsia="zh-CN"/>
        </w:rPr>
        <w:t>罚款</w:t>
      </w:r>
      <w:r>
        <w:rPr>
          <w:rFonts w:hint="eastAsia" w:ascii="微软雅黑" w:hAnsi="微软雅黑" w:eastAsia="微软雅黑" w:cs="微软雅黑"/>
          <w:bCs/>
          <w:color w:val="000000"/>
          <w:kern w:val="2"/>
          <w:sz w:val="21"/>
          <w:szCs w:val="21"/>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lang w:eastAsia="zh-CN"/>
        </w:rPr>
      </w:pPr>
      <w:r>
        <w:rPr>
          <w:rFonts w:hint="eastAsia" w:ascii="微软雅黑" w:hAnsi="微软雅黑" w:eastAsia="微软雅黑" w:cs="微软雅黑"/>
          <w:kern w:val="2"/>
          <w:sz w:val="21"/>
          <w:szCs w:val="21"/>
        </w:rPr>
        <w:t>《行政处罚法》第四十六条规定</w:t>
      </w:r>
      <w:r>
        <w:rPr>
          <w:rFonts w:hint="eastAsia" w:ascii="微软雅黑" w:hAnsi="微软雅黑" w:eastAsia="微软雅黑" w:cs="微软雅黑"/>
          <w:kern w:val="2"/>
          <w:sz w:val="21"/>
          <w:szCs w:val="21"/>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eastAsia" w:ascii="微软雅黑" w:hAnsi="微软雅黑" w:eastAsia="微软雅黑" w:cs="微软雅黑"/>
          <w:color w:val="auto"/>
          <w:kern w:val="2"/>
          <w:sz w:val="21"/>
          <w:szCs w:val="21"/>
          <w:lang w:val="en-US" w:eastAsia="zh-CN"/>
        </w:rPr>
        <w:t>0000002101210787</w:t>
      </w:r>
      <w:r>
        <w:rPr>
          <w:rFonts w:hint="eastAsia" w:ascii="微软雅黑" w:hAnsi="微软雅黑" w:eastAsia="微软雅黑" w:cs="微软雅黑"/>
          <w:kern w:val="2"/>
          <w:sz w:val="21"/>
          <w:szCs w:val="21"/>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3530" w:firstLineChars="173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594" w:lineRule="exact"/>
        <w:ind w:firstLine="3395" w:firstLineChars="1664"/>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7</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6</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594" w:lineRule="exact"/>
        <w:ind w:firstLine="408" w:firstLineChars="20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（此件公开发布）</w:t>
      </w:r>
    </w:p>
    <w:bookmarkEnd w:id="0"/>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DC17D77"/>
    <w:rsid w:val="1F2A7FF3"/>
    <w:rsid w:val="3252792B"/>
    <w:rsid w:val="34667E7C"/>
    <w:rsid w:val="4010322D"/>
    <w:rsid w:val="49A77FFB"/>
    <w:rsid w:val="576B2487"/>
    <w:rsid w:val="5C891267"/>
    <w:rsid w:val="636371FC"/>
    <w:rsid w:val="639B7F4A"/>
    <w:rsid w:val="642A53BE"/>
    <w:rsid w:val="6A406977"/>
    <w:rsid w:val="6F8D1794"/>
    <w:rsid w:val="7C461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王洋林</dc:creator>
  <cp:lastModifiedBy>陈永仁</cp:lastModifiedBy>
  <dcterms:modified xsi:type="dcterms:W3CDTF">2021-07-10T13:34:44Z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93BF9C90733F4A938AC8E3B161423654</vt:lpwstr>
  </property>
</Properties>
</file>