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2" w:name="_GoBack"/>
      <w:r>
        <w:rPr>
          <w:rFonts w:hint="eastAsia" w:ascii="微软雅黑" w:hAnsi="微软雅黑" w:eastAsia="微软雅黑" w:cs="微软雅黑"/>
          <w:bCs/>
          <w:color w:val="000000"/>
          <w:spacing w:val="202"/>
          <w:kern w:val="0"/>
          <w:sz w:val="21"/>
          <w:szCs w:val="21"/>
          <w:fitText w:val="5742" w:id="1811377442"/>
        </w:rPr>
        <w:t>国家市场监督管理总</w:t>
      </w:r>
      <w:r>
        <w:rPr>
          <w:rFonts w:hint="eastAsia" w:ascii="微软雅黑" w:hAnsi="微软雅黑" w:eastAsia="微软雅黑" w:cs="微软雅黑"/>
          <w:bCs/>
          <w:color w:val="000000"/>
          <w:spacing w:val="3"/>
          <w:kern w:val="0"/>
          <w:sz w:val="21"/>
          <w:szCs w:val="21"/>
          <w:fitText w:val="5742" w:id="1811377442"/>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30</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bCs/>
          <w:sz w:val="21"/>
          <w:szCs w:val="21"/>
          <w:lang w:val="en-US" w:eastAsia="zh-CN"/>
        </w:rPr>
        <w:t>腾讯控股有限公司（Tencent</w:t>
      </w:r>
      <w:r>
        <w:rPr>
          <w:rFonts w:hint="eastAsia" w:ascii="微软雅黑" w:hAnsi="微软雅黑" w:eastAsia="微软雅黑" w:cs="微软雅黑"/>
          <w:bCs/>
          <w:sz w:val="21"/>
          <w:szCs w:val="21"/>
          <w:lang w:val="en-US" w:eastAsia="zh-CN"/>
        </w:rPr>
        <w:t xml:space="preserve"> </w:t>
      </w:r>
      <w:r>
        <w:rPr>
          <w:rFonts w:hint="eastAsia" w:ascii="微软雅黑" w:hAnsi="微软雅黑" w:eastAsia="微软雅黑" w:cs="微软雅黑"/>
          <w:bCs/>
          <w:sz w:val="21"/>
          <w:szCs w:val="21"/>
          <w:lang w:val="en-US" w:eastAsia="zh-CN"/>
        </w:rPr>
        <w:t>Holdings</w:t>
      </w:r>
      <w:r>
        <w:rPr>
          <w:rFonts w:hint="eastAsia" w:ascii="微软雅黑" w:hAnsi="微软雅黑" w:eastAsia="微软雅黑" w:cs="微软雅黑"/>
          <w:bCs/>
          <w:sz w:val="21"/>
          <w:szCs w:val="21"/>
          <w:lang w:val="en-US" w:eastAsia="zh-CN"/>
        </w:rPr>
        <w:t xml:space="preserve"> </w:t>
      </w:r>
      <w:r>
        <w:rPr>
          <w:rFonts w:hint="eastAsia" w:ascii="微软雅黑" w:hAnsi="微软雅黑" w:eastAsia="微软雅黑" w:cs="微软雅黑"/>
          <w:bCs/>
          <w:sz w:val="21"/>
          <w:szCs w:val="21"/>
          <w:lang w:val="en-US" w:eastAsia="zh-CN"/>
        </w:rPr>
        <w:t>Limited）</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kern w:val="2"/>
          <w:sz w:val="21"/>
          <w:szCs w:val="21"/>
          <w:highlight w:val="none"/>
          <w:lang w:eastAsia="zh-CN"/>
        </w:rPr>
        <w:t>开曼群岛哈金斯大道克里奇广场</w:t>
      </w:r>
    </w:p>
    <w:p>
      <w:pPr>
        <w:pStyle w:val="2"/>
        <w:keepNext w:val="0"/>
        <w:keepLines w:val="0"/>
        <w:pageBreakBefore w:val="0"/>
        <w:widowControl w:val="0"/>
        <w:kinsoku/>
        <w:wordWrap/>
        <w:topLinePunct w:val="0"/>
        <w:bidi w:val="0"/>
        <w:spacing w:line="600" w:lineRule="exact"/>
        <w:textAlignment w:val="auto"/>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反垄断法》</w:t>
      </w:r>
      <w:r>
        <w:rPr>
          <w:rFonts w:hint="eastAsia" w:ascii="微软雅黑" w:hAnsi="微软雅黑" w:eastAsia="微软雅黑" w:cs="微软雅黑"/>
          <w:kern w:val="2"/>
          <w:sz w:val="21"/>
          <w:szCs w:val="21"/>
          <w:lang w:eastAsia="zh-CN"/>
        </w:rPr>
        <w:t>（以下简称《反垄断法》）、《经营者集中审查暂行规定》</w:t>
      </w:r>
      <w:r>
        <w:rPr>
          <w:rFonts w:hint="eastAsia" w:ascii="微软雅黑" w:hAnsi="微软雅黑" w:eastAsia="微软雅黑" w:cs="微软雅黑"/>
          <w:kern w:val="2"/>
          <w:sz w:val="21"/>
          <w:szCs w:val="21"/>
        </w:rPr>
        <w:t>，本机关于</w:t>
      </w:r>
      <w:r>
        <w:rPr>
          <w:rFonts w:hint="eastAsia" w:ascii="微软雅黑" w:hAnsi="微软雅黑" w:eastAsia="微软雅黑" w:cs="微软雅黑"/>
          <w:kern w:val="2"/>
          <w:sz w:val="21"/>
          <w:szCs w:val="21"/>
          <w:lang w:val="en-US" w:eastAsia="zh-CN"/>
        </w:rPr>
        <w:t>2021年3月11日</w:t>
      </w:r>
      <w:r>
        <w:rPr>
          <w:rFonts w:hint="eastAsia" w:ascii="微软雅黑" w:hAnsi="微软雅黑" w:eastAsia="微软雅黑" w:cs="微软雅黑"/>
          <w:kern w:val="2"/>
          <w:sz w:val="21"/>
          <w:szCs w:val="21"/>
          <w:lang w:eastAsia="zh-CN"/>
        </w:rPr>
        <w:t>对</w:t>
      </w:r>
      <w:r>
        <w:rPr>
          <w:rFonts w:hint="eastAsia" w:ascii="微软雅黑" w:hAnsi="微软雅黑" w:eastAsia="微软雅黑" w:cs="微软雅黑"/>
          <w:bCs/>
          <w:sz w:val="21"/>
          <w:szCs w:val="21"/>
          <w:lang w:val="en-US" w:eastAsia="zh-CN"/>
        </w:rPr>
        <w:t>腾讯控股有限公司（Tencent Holdings Limited</w:t>
      </w:r>
      <w:r>
        <w:rPr>
          <w:rFonts w:hint="eastAsia" w:ascii="微软雅黑" w:hAnsi="微软雅黑" w:eastAsia="微软雅黑" w:cs="微软雅黑"/>
          <w:bCs/>
          <w:sz w:val="21"/>
          <w:szCs w:val="21"/>
          <w:lang w:val="en-US" w:eastAsia="zh-CN"/>
        </w:rPr>
        <w:t>，</w:t>
      </w:r>
      <w:r>
        <w:rPr>
          <w:rFonts w:hint="eastAsia" w:ascii="微软雅黑" w:hAnsi="微软雅黑" w:eastAsia="微软雅黑" w:cs="微软雅黑"/>
          <w:bCs/>
          <w:sz w:val="21"/>
          <w:szCs w:val="21"/>
          <w:lang w:val="en-US" w:eastAsia="zh-CN"/>
        </w:rPr>
        <w:t>以下简称腾讯）收购Bitauto Holdings Limited（以下简称易车）股权涉嫌违法实施经营者集中案</w:t>
      </w:r>
      <w:r>
        <w:rPr>
          <w:rFonts w:hint="eastAsia" w:ascii="微软雅黑" w:hAnsi="微软雅黑" w:eastAsia="微软雅黑" w:cs="微软雅黑"/>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sz w:val="21"/>
          <w:szCs w:val="21"/>
          <w:lang w:eastAsia="zh-CN"/>
        </w:rPr>
        <w:t>腾讯</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腾讯</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eastAsia="zh-CN"/>
        </w:rPr>
        <w:t>一、</w:t>
      </w:r>
      <w:r>
        <w:rPr>
          <w:rFonts w:hint="eastAsia" w:ascii="微软雅黑" w:hAnsi="微软雅黑" w:eastAsia="微软雅黑" w:cs="微软雅黑"/>
          <w:bCs/>
          <w:sz w:val="21"/>
          <w:szCs w:val="21"/>
        </w:rPr>
        <w:t>基本情况</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b w:val="0"/>
          <w:bCs/>
          <w:sz w:val="21"/>
          <w:szCs w:val="21"/>
        </w:rPr>
      </w:pPr>
      <w:r>
        <w:rPr>
          <w:rFonts w:hint="eastAsia" w:ascii="微软雅黑" w:hAnsi="微软雅黑" w:eastAsia="微软雅黑" w:cs="微软雅黑"/>
          <w:b w:val="0"/>
          <w:bCs/>
          <w:sz w:val="21"/>
          <w:szCs w:val="21"/>
        </w:rPr>
        <w:t>（一）交易方。</w:t>
      </w:r>
    </w:p>
    <w:p>
      <w:pPr>
        <w:pStyle w:val="10"/>
        <w:adjustRightInd/>
        <w:spacing w:line="240" w:lineRule="auto"/>
        <w:ind w:firstLine="643"/>
        <w:rPr>
          <w:rFonts w:hint="eastAsia" w:ascii="微软雅黑" w:hAnsi="微软雅黑" w:eastAsia="微软雅黑" w:cs="微软雅黑"/>
          <w:bCs/>
          <w:sz w:val="21"/>
          <w:szCs w:val="21"/>
        </w:rPr>
      </w:pPr>
      <w:r>
        <w:rPr>
          <w:rFonts w:hint="eastAsia" w:ascii="微软雅黑" w:hAnsi="微软雅黑" w:eastAsia="微软雅黑" w:cs="微软雅黑"/>
          <w:b/>
          <w:sz w:val="21"/>
          <w:szCs w:val="21"/>
        </w:rPr>
        <w:t>收购方</w:t>
      </w:r>
      <w:r>
        <w:rPr>
          <w:rFonts w:hint="eastAsia" w:ascii="微软雅黑" w:hAnsi="微软雅黑" w:eastAsia="微软雅黑" w:cs="微软雅黑"/>
          <w:b/>
          <w:sz w:val="21"/>
          <w:szCs w:val="21"/>
        </w:rPr>
        <w:t>：</w:t>
      </w:r>
      <w:r>
        <w:rPr>
          <w:rFonts w:hint="eastAsia" w:ascii="微软雅黑" w:hAnsi="微软雅黑" w:eastAsia="微软雅黑" w:cs="微软雅黑"/>
          <w:b/>
          <w:sz w:val="21"/>
          <w:szCs w:val="21"/>
        </w:rPr>
        <w:t>腾讯</w:t>
      </w:r>
      <w:r>
        <w:rPr>
          <w:rFonts w:hint="eastAsia" w:ascii="微软雅黑" w:hAnsi="微软雅黑" w:eastAsia="微软雅黑" w:cs="微软雅黑"/>
          <w:sz w:val="21"/>
          <w:szCs w:val="21"/>
        </w:rPr>
        <w:t>。</w:t>
      </w:r>
      <w:r>
        <w:rPr>
          <w:rFonts w:hint="eastAsia" w:ascii="微软雅黑" w:hAnsi="微软雅黑" w:eastAsia="微软雅黑" w:cs="微软雅黑"/>
          <w:bCs/>
          <w:sz w:val="21"/>
          <w:szCs w:val="21"/>
        </w:rPr>
        <w:t>1999年11月在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2019年全球营业额为</w:t>
      </w:r>
      <w:r>
        <w:rPr>
          <w:rFonts w:hint="eastAsia" w:ascii="微软雅黑" w:hAnsi="微软雅黑" w:eastAsia="微软雅黑" w:cs="微软雅黑"/>
          <w:bCs/>
          <w:sz w:val="21"/>
          <w:szCs w:val="21"/>
          <w:lang w:eastAsia="zh-CN"/>
        </w:rPr>
        <w:t>（略）人民币（币种下同）</w:t>
      </w:r>
      <w:r>
        <w:rPr>
          <w:rFonts w:hint="eastAsia" w:ascii="微软雅黑" w:hAnsi="微软雅黑" w:eastAsia="微软雅黑" w:cs="微软雅黑"/>
          <w:bCs/>
          <w:sz w:val="21"/>
          <w:szCs w:val="21"/>
        </w:rPr>
        <w:t>，中国境内营业额为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bCs/>
          <w:sz w:val="21"/>
          <w:szCs w:val="21"/>
        </w:rPr>
        <w:t>。</w:t>
      </w:r>
    </w:p>
    <w:p>
      <w:pPr>
        <w:pStyle w:val="10"/>
        <w:adjustRightInd/>
        <w:spacing w:line="240" w:lineRule="auto"/>
        <w:ind w:firstLine="643"/>
        <w:rPr>
          <w:rFonts w:hint="eastAsia" w:ascii="微软雅黑" w:hAnsi="微软雅黑" w:eastAsia="微软雅黑" w:cs="微软雅黑"/>
          <w:bCs/>
          <w:sz w:val="21"/>
          <w:szCs w:val="21"/>
        </w:rPr>
      </w:pPr>
      <w:r>
        <w:rPr>
          <w:rFonts w:hint="eastAsia" w:ascii="微软雅黑" w:hAnsi="微软雅黑" w:eastAsia="微软雅黑" w:cs="微软雅黑"/>
          <w:b/>
          <w:sz w:val="21"/>
          <w:szCs w:val="21"/>
        </w:rPr>
        <w:t>被收购方</w:t>
      </w:r>
      <w:r>
        <w:rPr>
          <w:rFonts w:hint="eastAsia" w:ascii="微软雅黑" w:hAnsi="微软雅黑" w:eastAsia="微软雅黑" w:cs="微软雅黑"/>
          <w:b/>
          <w:sz w:val="21"/>
          <w:szCs w:val="21"/>
        </w:rPr>
        <w:t>：</w:t>
      </w:r>
      <w:r>
        <w:rPr>
          <w:rFonts w:hint="eastAsia" w:ascii="微软雅黑" w:hAnsi="微软雅黑" w:eastAsia="微软雅黑" w:cs="微软雅黑"/>
          <w:b/>
          <w:bCs/>
          <w:sz w:val="21"/>
          <w:szCs w:val="21"/>
        </w:rPr>
        <w:t>易车</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rPr>
        <w:t>2014年在英属开曼群岛注册成立，美国纽约证券交易所上市公司，股权结构分散，无最终控制人。易车通过境内运营实体北京易车信息科技有限公司从事互联网汽车广告服务、汽车金融服务等业务，2019年全球与中国境内营业额均为</w:t>
      </w:r>
      <w:r>
        <w:rPr>
          <w:rFonts w:hint="eastAsia" w:ascii="微软雅黑" w:hAnsi="微软雅黑" w:eastAsia="微软雅黑" w:cs="微软雅黑"/>
          <w:bCs/>
          <w:sz w:val="21"/>
          <w:szCs w:val="21"/>
          <w:lang w:eastAsia="zh-CN"/>
        </w:rPr>
        <w:t>（略）</w:t>
      </w:r>
      <w:r>
        <w:rPr>
          <w:rFonts w:hint="eastAsia" w:ascii="微软雅黑" w:hAnsi="微软雅黑" w:eastAsia="微软雅黑" w:cs="微软雅黑"/>
          <w:bCs/>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b w:val="0"/>
          <w:bCs/>
          <w:sz w:val="21"/>
          <w:szCs w:val="21"/>
        </w:rPr>
      </w:pPr>
      <w:r>
        <w:rPr>
          <w:rFonts w:hint="eastAsia" w:ascii="微软雅黑" w:hAnsi="微软雅黑" w:eastAsia="微软雅黑" w:cs="微软雅黑"/>
          <w:b w:val="0"/>
          <w:bCs/>
          <w:sz w:val="21"/>
          <w:szCs w:val="21"/>
        </w:rPr>
        <w:t>（二）交易概况。</w:t>
      </w:r>
    </w:p>
    <w:p>
      <w:pPr>
        <w:keepNext w:val="0"/>
        <w:keepLines w:val="0"/>
        <w:pageBreakBefore w:val="0"/>
        <w:widowControl w:val="0"/>
        <w:kinsoku/>
        <w:wordWrap/>
        <w:topLinePunct w:val="0"/>
        <w:bidi w:val="0"/>
        <w:spacing w:line="600" w:lineRule="exact"/>
        <w:ind w:firstLine="408"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本交易系股权收购。2020年6月12日，腾讯与Hammer Capital以75.9亿元联合购买易车股权，分别持股68.18%、15.15%。2020年11月4日，易车完成股权变更登记。</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kinsoku/>
        <w:wordWrap/>
        <w:topLinePunct w:val="0"/>
        <w:bidi w:val="0"/>
        <w:snapToGrid/>
        <w:spacing w:line="600" w:lineRule="exact"/>
        <w:ind w:firstLine="408" w:firstLineChars="200"/>
        <w:textAlignment w:val="auto"/>
        <w:outlineLvl w:val="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（一）本案构成未依法申报</w:t>
      </w:r>
      <w:r>
        <w:rPr>
          <w:rFonts w:hint="eastAsia" w:ascii="微软雅黑" w:hAnsi="微软雅黑" w:eastAsia="微软雅黑" w:cs="微软雅黑"/>
          <w:b w:val="0"/>
          <w:bCs w:val="0"/>
          <w:sz w:val="21"/>
          <w:szCs w:val="21"/>
          <w:lang w:eastAsia="zh-CN"/>
        </w:rPr>
        <w:t>违法</w:t>
      </w:r>
      <w:r>
        <w:rPr>
          <w:rFonts w:hint="eastAsia" w:ascii="微软雅黑" w:hAnsi="微软雅黑" w:eastAsia="微软雅黑" w:cs="微软雅黑"/>
          <w:b w:val="0"/>
          <w:bCs w:val="0"/>
          <w:sz w:val="21"/>
          <w:szCs w:val="21"/>
        </w:rPr>
        <w:t>实施的经营者集中。</w:t>
      </w:r>
    </w:p>
    <w:p>
      <w:pPr>
        <w:keepNext w:val="0"/>
        <w:keepLines w:val="0"/>
        <w:pageBreakBefore w:val="0"/>
        <w:widowControl w:val="0"/>
        <w:kinsoku/>
        <w:wordWrap/>
        <w:topLinePunct w:val="0"/>
        <w:bidi w:val="0"/>
        <w:spacing w:line="600" w:lineRule="exact"/>
        <w:ind w:firstLine="408"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《反垄断法》第二十条规定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0" w:name="OLE_LINK48"/>
      <w:r>
        <w:rPr>
          <w:rFonts w:hint="eastAsia" w:ascii="微软雅黑" w:hAnsi="微软雅黑" w:eastAsia="微软雅黑" w:cs="微软雅黑"/>
          <w:sz w:val="21"/>
          <w:szCs w:val="21"/>
          <w:lang w:val="en-US" w:eastAsia="zh-CN"/>
        </w:rPr>
        <w:t>腾讯收购易车68.18%股权，并取得对易车的控制权，</w:t>
      </w:r>
      <w:r>
        <w:rPr>
          <w:rFonts w:hint="eastAsia" w:ascii="微软雅黑" w:hAnsi="微软雅黑" w:eastAsia="微软雅黑" w:cs="微软雅黑"/>
          <w:sz w:val="21"/>
          <w:szCs w:val="21"/>
          <w:lang w:eastAsia="zh-CN"/>
        </w:rPr>
        <w:t>属于《反垄断法》第二十条规定的经营者集中。</w:t>
      </w:r>
      <w:bookmarkEnd w:id="0"/>
    </w:p>
    <w:p>
      <w:pPr>
        <w:keepNext w:val="0"/>
        <w:keepLines w:val="0"/>
        <w:pageBreakBefore w:val="0"/>
        <w:widowControl w:val="0"/>
        <w:kinsoku/>
        <w:wordWrap/>
        <w:topLinePunct w:val="0"/>
        <w:bidi w:val="0"/>
        <w:spacing w:line="600" w:lineRule="exact"/>
        <w:ind w:firstLine="408" w:firstLineChars="200"/>
        <w:textAlignment w:val="auto"/>
        <w:rPr>
          <w:rFonts w:hint="eastAsia" w:ascii="微软雅黑" w:hAnsi="微软雅黑" w:eastAsia="微软雅黑" w:cs="微软雅黑"/>
          <w:sz w:val="21"/>
          <w:szCs w:val="21"/>
          <w:lang w:eastAsia="zh-CN"/>
        </w:rPr>
      </w:pPr>
      <w:bookmarkStart w:id="1" w:name="OLE_LINK49"/>
      <w:r>
        <w:rPr>
          <w:rFonts w:hint="eastAsia" w:ascii="微软雅黑" w:hAnsi="微软雅黑" w:eastAsia="微软雅黑" w:cs="微软雅黑"/>
          <w:sz w:val="21"/>
          <w:szCs w:val="21"/>
          <w:lang w:eastAsia="zh-CN"/>
        </w:rPr>
        <w:t>腾讯2019年全球营业额为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eastAsia="zh-CN"/>
        </w:rPr>
        <w:t>，中国境内营业额为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eastAsia="zh-CN"/>
        </w:rPr>
        <w:t>；易车2019年全球与中国境内营业额均为</w:t>
      </w:r>
      <w:r>
        <w:rPr>
          <w:rFonts w:hint="eastAsia" w:ascii="微软雅黑" w:hAnsi="微软雅黑" w:eastAsia="微软雅黑" w:cs="微软雅黑"/>
          <w:sz w:val="21"/>
          <w:szCs w:val="21"/>
          <w:lang w:eastAsia="zh-CN"/>
        </w:rPr>
        <w:t>（略）</w:t>
      </w:r>
      <w:r>
        <w:rPr>
          <w:rFonts w:hint="eastAsia" w:ascii="微软雅黑" w:hAnsi="微软雅黑" w:eastAsia="微软雅黑" w:cs="微软雅黑"/>
          <w:sz w:val="21"/>
          <w:szCs w:val="21"/>
          <w:lang w:eastAsia="zh-CN"/>
        </w:rPr>
        <w:t>，达到《国务院关于经营者集中申报标准的规定》第三条规定的申报标准，属于应当申报的情形。</w:t>
      </w:r>
      <w:bookmarkEnd w:id="1"/>
    </w:p>
    <w:p>
      <w:pPr>
        <w:keepNext w:val="0"/>
        <w:keepLines w:val="0"/>
        <w:pageBreakBefore w:val="0"/>
        <w:widowControl w:val="0"/>
        <w:kinsoku/>
        <w:wordWrap/>
        <w:topLinePunct w:val="0"/>
        <w:bidi w:val="0"/>
        <w:spacing w:line="600"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反垄断法》第二十一条规定“经营者集中达到国务院规定的申报标准的，经营者应当事先向国务院反垄断执法机构申报，未申报的不得实施集中”。2020年11月4日，易车完成股权变更登记。在此之前未向本机关申报，违反《反垄断法》第</w:t>
      </w:r>
      <w:r>
        <w:rPr>
          <w:rFonts w:hint="eastAsia" w:ascii="微软雅黑" w:hAnsi="微软雅黑" w:eastAsia="微软雅黑" w:cs="微软雅黑"/>
          <w:sz w:val="21"/>
          <w:szCs w:val="21"/>
          <w:lang w:val="en-US" w:eastAsia="zh-CN"/>
        </w:rPr>
        <w:t>二十一</w:t>
      </w:r>
      <w:r>
        <w:rPr>
          <w:rFonts w:hint="eastAsia" w:ascii="微软雅黑" w:hAnsi="微软雅黑" w:eastAsia="微软雅黑" w:cs="微软雅黑"/>
          <w:sz w:val="21"/>
          <w:szCs w:val="21"/>
          <w:lang w:eastAsia="zh-CN"/>
        </w:rPr>
        <w:t>条，构成未依法申报违法实施的经营者集中。</w:t>
      </w:r>
    </w:p>
    <w:p>
      <w:pPr>
        <w:keepNext w:val="0"/>
        <w:keepLines w:val="0"/>
        <w:pageBreakBefore w:val="0"/>
        <w:widowControl w:val="0"/>
        <w:kinsoku/>
        <w:wordWrap/>
        <w:topLinePunct w:val="0"/>
        <w:bidi w:val="0"/>
        <w:snapToGrid/>
        <w:spacing w:line="600" w:lineRule="exact"/>
        <w:ind w:firstLine="408" w:firstLineChars="200"/>
        <w:textAlignment w:val="auto"/>
        <w:outlineLvl w:val="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（二）本案不具有排除、限制竞争的效果。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kern w:val="2"/>
          <w:sz w:val="21"/>
          <w:szCs w:val="21"/>
          <w:lang w:eastAsia="zh-CN"/>
        </w:rPr>
        <w:t>腾讯</w:t>
      </w:r>
      <w:r>
        <w:rPr>
          <w:rFonts w:hint="eastAsia" w:ascii="微软雅黑" w:hAnsi="微软雅黑" w:eastAsia="微软雅黑" w:cs="微软雅黑"/>
          <w:kern w:val="2"/>
          <w:sz w:val="21"/>
          <w:szCs w:val="21"/>
          <w:lang w:eastAsia="zh-CN"/>
        </w:rPr>
        <w:t>收购</w:t>
      </w:r>
      <w:r>
        <w:rPr>
          <w:rFonts w:hint="eastAsia" w:ascii="微软雅黑" w:hAnsi="微软雅黑" w:eastAsia="微软雅黑" w:cs="微软雅黑"/>
          <w:kern w:val="2"/>
          <w:sz w:val="21"/>
          <w:szCs w:val="21"/>
          <w:lang w:eastAsia="zh-CN"/>
        </w:rPr>
        <w:t>易车</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600"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600"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kern w:val="2"/>
          <w:sz w:val="21"/>
          <w:szCs w:val="21"/>
        </w:rPr>
        <w:t>基于上述调查情况和评估结论，本机关</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color w:val="000000"/>
          <w:kern w:val="2"/>
          <w:sz w:val="21"/>
          <w:szCs w:val="21"/>
          <w:lang w:val="en-US" w:eastAsia="zh-CN"/>
        </w:rPr>
        <w:t>腾讯</w:t>
      </w:r>
      <w:r>
        <w:rPr>
          <w:rFonts w:hint="eastAsia" w:ascii="微软雅黑" w:hAnsi="微软雅黑" w:eastAsia="微软雅黑" w:cs="微软雅黑"/>
          <w:bCs/>
          <w:color w:val="000000"/>
          <w:kern w:val="2"/>
          <w:sz w:val="21"/>
          <w:szCs w:val="21"/>
          <w:lang w:val="en-US" w:eastAsia="zh-CN"/>
        </w:rPr>
        <w:t>50万元</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lang w:eastAsia="zh-CN"/>
        </w:rPr>
        <w:t>为</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0000002100081864</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600"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600"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4</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28</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60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2"/>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B7197"/>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1530E89"/>
    <w:rsid w:val="019452B7"/>
    <w:rsid w:val="03007EDE"/>
    <w:rsid w:val="03570C80"/>
    <w:rsid w:val="040D264D"/>
    <w:rsid w:val="044C2096"/>
    <w:rsid w:val="04E75D87"/>
    <w:rsid w:val="08277C4F"/>
    <w:rsid w:val="09B46466"/>
    <w:rsid w:val="0B307E77"/>
    <w:rsid w:val="0D4D2427"/>
    <w:rsid w:val="0D8F1716"/>
    <w:rsid w:val="0EAA3ED1"/>
    <w:rsid w:val="104E0B39"/>
    <w:rsid w:val="132500A4"/>
    <w:rsid w:val="13752A27"/>
    <w:rsid w:val="14757C00"/>
    <w:rsid w:val="15F526A7"/>
    <w:rsid w:val="177C27C1"/>
    <w:rsid w:val="18956EF5"/>
    <w:rsid w:val="1B0D2F6A"/>
    <w:rsid w:val="1B28094D"/>
    <w:rsid w:val="1B6E0727"/>
    <w:rsid w:val="1BE7757A"/>
    <w:rsid w:val="1FAB48BB"/>
    <w:rsid w:val="211B31BE"/>
    <w:rsid w:val="2DE60730"/>
    <w:rsid w:val="2E301C88"/>
    <w:rsid w:val="2E7343AE"/>
    <w:rsid w:val="2FD22892"/>
    <w:rsid w:val="301A4762"/>
    <w:rsid w:val="32DC238B"/>
    <w:rsid w:val="33B23EB8"/>
    <w:rsid w:val="34524D2B"/>
    <w:rsid w:val="34F17B02"/>
    <w:rsid w:val="3A30675E"/>
    <w:rsid w:val="3ABD31FA"/>
    <w:rsid w:val="3E974195"/>
    <w:rsid w:val="3EAD5FEC"/>
    <w:rsid w:val="3F267478"/>
    <w:rsid w:val="421D1137"/>
    <w:rsid w:val="451B0817"/>
    <w:rsid w:val="4AB65652"/>
    <w:rsid w:val="4D39790A"/>
    <w:rsid w:val="4FD318BE"/>
    <w:rsid w:val="52154BBE"/>
    <w:rsid w:val="542559AB"/>
    <w:rsid w:val="542A0388"/>
    <w:rsid w:val="57D2389B"/>
    <w:rsid w:val="5B6E0781"/>
    <w:rsid w:val="5DEA10B2"/>
    <w:rsid w:val="5F3D449D"/>
    <w:rsid w:val="60A0123A"/>
    <w:rsid w:val="63464DED"/>
    <w:rsid w:val="653809D0"/>
    <w:rsid w:val="66034A8F"/>
    <w:rsid w:val="673B3007"/>
    <w:rsid w:val="6B146BDD"/>
    <w:rsid w:val="6F984983"/>
    <w:rsid w:val="74D14500"/>
    <w:rsid w:val="75944317"/>
    <w:rsid w:val="7C291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0">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9</TotalTime>
  <ScaleCrop>false</ScaleCrop>
  <LinksUpToDate>false</LinksUpToDate>
  <CharactersWithSpaces>1674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2021-03-10T01:03:00Z</cp:lastPrinted>
  <dcterms:modified xsi:type="dcterms:W3CDTF">2021-05-03T15:00:18Z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E886178AB49C41A797C1DCD79C9C35AF</vt:lpwstr>
  </property>
</Properties>
</file>