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topLinePunct w:val="0"/>
        <w:bidi w:val="0"/>
        <w:spacing w:line="594" w:lineRule="exact"/>
        <w:jc w:val="center"/>
        <w:textAlignment w:val="auto"/>
        <w:rPr>
          <w:rFonts w:hint="eastAsia" w:ascii="微软雅黑" w:hAnsi="微软雅黑" w:eastAsia="微软雅黑" w:cs="微软雅黑"/>
          <w:bCs/>
          <w:color w:val="000000"/>
          <w:kern w:val="2"/>
          <w:sz w:val="21"/>
          <w:szCs w:val="21"/>
        </w:rPr>
      </w:pPr>
      <w:bookmarkStart w:id="11" w:name="_GoBack"/>
      <w:r>
        <w:rPr>
          <w:rFonts w:hint="eastAsia" w:ascii="微软雅黑" w:hAnsi="微软雅黑" w:eastAsia="微软雅黑" w:cs="微软雅黑"/>
          <w:bCs/>
          <w:color w:val="000000"/>
          <w:spacing w:val="30"/>
          <w:kern w:val="2"/>
          <w:sz w:val="21"/>
          <w:szCs w:val="21"/>
          <w:fitText w:val="5742" w:id="0"/>
        </w:rPr>
        <w:t>国家市场监督管理总</w:t>
      </w:r>
      <w:r>
        <w:rPr>
          <w:rFonts w:hint="eastAsia" w:ascii="微软雅黑" w:hAnsi="微软雅黑" w:eastAsia="微软雅黑" w:cs="微软雅黑"/>
          <w:bCs/>
          <w:color w:val="000000"/>
          <w:spacing w:val="1"/>
          <w:kern w:val="2"/>
          <w:sz w:val="21"/>
          <w:szCs w:val="21"/>
          <w:fitText w:val="5742" w:id="0"/>
        </w:rPr>
        <w:t>局</w:t>
      </w:r>
    </w:p>
    <w:p>
      <w:pPr>
        <w:keepNext w:val="0"/>
        <w:keepLines w:val="0"/>
        <w:pageBreakBefore w:val="0"/>
        <w:widowControl w:val="0"/>
        <w:kinsoku/>
        <w:wordWrap/>
        <w:topLinePunct w:val="0"/>
        <w:bidi w:val="0"/>
        <w:spacing w:line="594" w:lineRule="exact"/>
        <w:jc w:val="center"/>
        <w:textAlignment w:val="auto"/>
        <w:rPr>
          <w:rFonts w:hint="eastAsia" w:ascii="微软雅黑" w:hAnsi="微软雅黑" w:eastAsia="微软雅黑" w:cs="微软雅黑"/>
          <w:color w:val="000000"/>
          <w:kern w:val="2"/>
          <w:sz w:val="21"/>
          <w:szCs w:val="21"/>
        </w:rPr>
      </w:pPr>
      <w:r>
        <w:rPr>
          <w:rFonts w:hint="eastAsia" w:ascii="微软雅黑" w:hAnsi="微软雅黑" w:eastAsia="微软雅黑" w:cs="微软雅黑"/>
          <w:bCs/>
          <w:color w:val="000000"/>
          <w:spacing w:val="175"/>
          <w:kern w:val="2"/>
          <w:sz w:val="21"/>
          <w:szCs w:val="21"/>
          <w:fitText w:val="5742" w:id="1"/>
        </w:rPr>
        <w:t>行政处罚决定</w:t>
      </w:r>
      <w:r>
        <w:rPr>
          <w:rFonts w:hint="eastAsia" w:ascii="微软雅黑" w:hAnsi="微软雅黑" w:eastAsia="微软雅黑" w:cs="微软雅黑"/>
          <w:bCs/>
          <w:color w:val="000000"/>
          <w:spacing w:val="1"/>
          <w:kern w:val="2"/>
          <w:sz w:val="21"/>
          <w:szCs w:val="21"/>
          <w:fitText w:val="5742" w:id="1"/>
        </w:rPr>
        <w:t>书</w:t>
      </w:r>
    </w:p>
    <w:p>
      <w:pPr>
        <w:keepNext w:val="0"/>
        <w:keepLines w:val="0"/>
        <w:pageBreakBefore w:val="0"/>
        <w:widowControl w:val="0"/>
        <w:kinsoku/>
        <w:wordWrap/>
        <w:topLinePunct w:val="0"/>
        <w:bidi w:val="0"/>
        <w:spacing w:line="594" w:lineRule="exact"/>
        <w:jc w:val="center"/>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国市监处〔202</w:t>
      </w:r>
      <w:r>
        <w:rPr>
          <w:rFonts w:hint="eastAsia" w:ascii="微软雅黑" w:hAnsi="微软雅黑" w:eastAsia="微软雅黑" w:cs="微软雅黑"/>
          <w:kern w:val="2"/>
          <w:sz w:val="21"/>
          <w:szCs w:val="21"/>
          <w:lang w:val="en-US" w:eastAsia="zh-CN"/>
        </w:rPr>
        <w:t>1</w:t>
      </w:r>
      <w:r>
        <w:rPr>
          <w:rFonts w:hint="eastAsia" w:ascii="微软雅黑" w:hAnsi="微软雅黑" w:eastAsia="微软雅黑" w:cs="微软雅黑"/>
          <w:kern w:val="2"/>
          <w:sz w:val="21"/>
          <w:szCs w:val="21"/>
        </w:rPr>
        <w:t>〕</w:t>
      </w:r>
      <w:r>
        <w:rPr>
          <w:rFonts w:hint="eastAsia" w:ascii="微软雅黑" w:hAnsi="微软雅黑" w:eastAsia="微软雅黑" w:cs="微软雅黑"/>
          <w:kern w:val="2"/>
          <w:sz w:val="21"/>
          <w:szCs w:val="21"/>
          <w:lang w:val="en-US" w:eastAsia="zh-CN"/>
        </w:rPr>
        <w:t>16</w:t>
      </w:r>
      <w:r>
        <w:rPr>
          <w:rFonts w:hint="eastAsia" w:ascii="微软雅黑" w:hAnsi="微软雅黑" w:eastAsia="微软雅黑" w:cs="微软雅黑"/>
          <w:kern w:val="2"/>
          <w:sz w:val="21"/>
          <w:szCs w:val="21"/>
        </w:rPr>
        <w:t>号</w:t>
      </w:r>
    </w:p>
    <w:p>
      <w:pPr>
        <w:keepNext w:val="0"/>
        <w:keepLines w:val="0"/>
        <w:pageBreakBefore w:val="0"/>
        <w:widowControl w:val="0"/>
        <w:kinsoku/>
        <w:wordWrap/>
        <w:topLinePunct w:val="0"/>
        <w:bidi w:val="0"/>
        <w:spacing w:line="594" w:lineRule="exact"/>
        <w:jc w:val="center"/>
        <w:textAlignment w:val="auto"/>
        <w:rPr>
          <w:rFonts w:hint="eastAsia" w:ascii="微软雅黑" w:hAnsi="微软雅黑" w:eastAsia="微软雅黑" w:cs="微软雅黑"/>
          <w:kern w:val="2"/>
          <w:sz w:val="21"/>
          <w:szCs w:val="21"/>
        </w:rPr>
      </w:pPr>
    </w:p>
    <w:p>
      <w:pPr>
        <w:keepNext w:val="0"/>
        <w:keepLines w:val="0"/>
        <w:pageBreakBefore w:val="0"/>
        <w:widowControl w:val="0"/>
        <w:suppressAutoHyphens/>
        <w:kinsoku/>
        <w:wordWrap/>
        <w:overflowPunct w:val="0"/>
        <w:topLinePunct w:val="0"/>
        <w:autoSpaceDE w:val="0"/>
        <w:autoSpaceDN w:val="0"/>
        <w:bidi w:val="0"/>
        <w:adjustRightInd w:val="0"/>
        <w:spacing w:line="60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当事人：</w:t>
      </w:r>
      <w:r>
        <w:rPr>
          <w:rFonts w:hint="eastAsia" w:ascii="微软雅黑" w:hAnsi="微软雅黑" w:eastAsia="微软雅黑" w:cs="微软雅黑"/>
          <w:bCs/>
          <w:sz w:val="21"/>
          <w:szCs w:val="21"/>
          <w:lang w:val="en-US" w:eastAsia="zh-CN"/>
        </w:rPr>
        <w:t>百度控股有限公司（Baidu Holdings Limited）</w:t>
      </w:r>
    </w:p>
    <w:p>
      <w:pPr>
        <w:keepNext w:val="0"/>
        <w:keepLines w:val="0"/>
        <w:pageBreakBefore w:val="0"/>
        <w:widowControl w:val="0"/>
        <w:suppressAutoHyphens/>
        <w:kinsoku/>
        <w:wordWrap/>
        <w:overflowPunct w:val="0"/>
        <w:topLinePunct w:val="0"/>
        <w:autoSpaceDE w:val="0"/>
        <w:autoSpaceDN w:val="0"/>
        <w:bidi w:val="0"/>
        <w:adjustRightInd w:val="0"/>
        <w:spacing w:line="600" w:lineRule="exact"/>
        <w:ind w:firstLine="408" w:firstLineChars="200"/>
        <w:textAlignment w:val="auto"/>
        <w:rPr>
          <w:rFonts w:hint="eastAsia" w:ascii="微软雅黑" w:hAnsi="微软雅黑" w:eastAsia="微软雅黑" w:cs="微软雅黑"/>
          <w:kern w:val="2"/>
          <w:sz w:val="21"/>
          <w:szCs w:val="21"/>
          <w:lang w:eastAsia="zh-CN"/>
        </w:rPr>
      </w:pPr>
      <w:r>
        <w:rPr>
          <w:rFonts w:hint="eastAsia" w:ascii="微软雅黑" w:hAnsi="微软雅黑" w:eastAsia="微软雅黑" w:cs="微软雅黑"/>
          <w:kern w:val="2"/>
          <w:sz w:val="21"/>
          <w:szCs w:val="21"/>
        </w:rPr>
        <w:t>住  所：</w:t>
      </w:r>
      <w:r>
        <w:rPr>
          <w:rFonts w:hint="eastAsia" w:ascii="微软雅黑" w:hAnsi="微软雅黑" w:eastAsia="微软雅黑" w:cs="微软雅黑"/>
          <w:kern w:val="2"/>
          <w:sz w:val="21"/>
          <w:szCs w:val="21"/>
          <w:lang w:eastAsia="zh-CN"/>
        </w:rPr>
        <w:t>北京市海淀区上地十街10号</w:t>
      </w:r>
    </w:p>
    <w:p>
      <w:pPr>
        <w:pStyle w:val="2"/>
        <w:keepNext w:val="0"/>
        <w:keepLines w:val="0"/>
        <w:pageBreakBefore w:val="0"/>
        <w:widowControl w:val="0"/>
        <w:kinsoku/>
        <w:wordWrap/>
        <w:topLinePunct w:val="0"/>
        <w:bidi w:val="0"/>
        <w:spacing w:line="600" w:lineRule="exact"/>
        <w:textAlignment w:val="auto"/>
        <w:rPr>
          <w:rFonts w:hint="eastAsia" w:ascii="微软雅黑" w:hAnsi="微软雅黑" w:eastAsia="微软雅黑" w:cs="微软雅黑"/>
          <w:sz w:val="21"/>
          <w:szCs w:val="21"/>
        </w:rPr>
      </w:pPr>
    </w:p>
    <w:p>
      <w:pPr>
        <w:keepNext w:val="0"/>
        <w:keepLines w:val="0"/>
        <w:pageBreakBefore w:val="0"/>
        <w:widowControl w:val="0"/>
        <w:suppressAutoHyphens/>
        <w:kinsoku/>
        <w:wordWrap/>
        <w:overflowPunct w:val="0"/>
        <w:topLinePunct w:val="0"/>
        <w:autoSpaceDE w:val="0"/>
        <w:autoSpaceDN w:val="0"/>
        <w:bidi w:val="0"/>
        <w:adjustRightInd w:val="0"/>
        <w:spacing w:line="60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根据《</w:t>
      </w:r>
      <w:r>
        <w:rPr>
          <w:rFonts w:hint="eastAsia" w:ascii="微软雅黑" w:hAnsi="微软雅黑" w:eastAsia="微软雅黑" w:cs="微软雅黑"/>
          <w:kern w:val="2"/>
          <w:sz w:val="21"/>
          <w:szCs w:val="21"/>
          <w:lang w:eastAsia="zh-CN"/>
        </w:rPr>
        <w:t>中华人民共和国</w:t>
      </w:r>
      <w:r>
        <w:rPr>
          <w:rFonts w:hint="eastAsia" w:ascii="微软雅黑" w:hAnsi="微软雅黑" w:eastAsia="微软雅黑" w:cs="微软雅黑"/>
          <w:kern w:val="2"/>
          <w:sz w:val="21"/>
          <w:szCs w:val="21"/>
        </w:rPr>
        <w:t>反垄断法》</w:t>
      </w:r>
      <w:r>
        <w:rPr>
          <w:rFonts w:hint="eastAsia" w:ascii="微软雅黑" w:hAnsi="微软雅黑" w:eastAsia="微软雅黑" w:cs="微软雅黑"/>
          <w:kern w:val="2"/>
          <w:sz w:val="21"/>
          <w:szCs w:val="21"/>
          <w:lang w:eastAsia="zh-CN"/>
        </w:rPr>
        <w:t>（以下简称《反垄断法》）《经营者集中审查暂行规定》</w:t>
      </w:r>
      <w:r>
        <w:rPr>
          <w:rFonts w:hint="eastAsia" w:ascii="微软雅黑" w:hAnsi="微软雅黑" w:eastAsia="微软雅黑" w:cs="微软雅黑"/>
          <w:kern w:val="2"/>
          <w:sz w:val="21"/>
          <w:szCs w:val="21"/>
        </w:rPr>
        <w:t>，本机关于</w:t>
      </w:r>
      <w:r>
        <w:rPr>
          <w:rFonts w:hint="eastAsia" w:ascii="微软雅黑" w:hAnsi="微软雅黑" w:eastAsia="微软雅黑" w:cs="微软雅黑"/>
          <w:kern w:val="2"/>
          <w:sz w:val="21"/>
          <w:szCs w:val="21"/>
          <w:lang w:val="en-US" w:eastAsia="zh-CN"/>
        </w:rPr>
        <w:t>2021年1月25日</w:t>
      </w:r>
      <w:r>
        <w:rPr>
          <w:rFonts w:hint="eastAsia" w:ascii="微软雅黑" w:hAnsi="微软雅黑" w:eastAsia="微软雅黑" w:cs="微软雅黑"/>
          <w:kern w:val="2"/>
          <w:sz w:val="21"/>
          <w:szCs w:val="21"/>
          <w:lang w:eastAsia="zh-CN"/>
        </w:rPr>
        <w:t>对</w:t>
      </w:r>
      <w:bookmarkStart w:id="0" w:name="OLE_LINK13"/>
      <w:bookmarkStart w:id="1" w:name="OLE_LINK7"/>
      <w:bookmarkStart w:id="2" w:name="OLE_LINK4"/>
      <w:r>
        <w:rPr>
          <w:rFonts w:hint="eastAsia" w:ascii="微软雅黑" w:hAnsi="微软雅黑" w:eastAsia="微软雅黑" w:cs="微软雅黑"/>
          <w:bCs/>
          <w:sz w:val="21"/>
          <w:szCs w:val="21"/>
          <w:lang w:val="en-US" w:eastAsia="zh-CN"/>
        </w:rPr>
        <w:t>百度控股有限公司（Baidu Holdings Limited</w:t>
      </w:r>
      <w:bookmarkEnd w:id="0"/>
      <w:r>
        <w:rPr>
          <w:rFonts w:hint="eastAsia" w:ascii="微软雅黑" w:hAnsi="微软雅黑" w:eastAsia="微软雅黑" w:cs="微软雅黑"/>
          <w:bCs/>
          <w:sz w:val="21"/>
          <w:szCs w:val="21"/>
          <w:lang w:val="en-US" w:eastAsia="zh-CN"/>
        </w:rPr>
        <w:t>，以下简称百度控股）</w:t>
      </w:r>
      <w:bookmarkEnd w:id="1"/>
      <w:r>
        <w:rPr>
          <w:rFonts w:hint="eastAsia" w:ascii="微软雅黑" w:hAnsi="微软雅黑" w:eastAsia="微软雅黑" w:cs="微软雅黑"/>
          <w:bCs/>
          <w:sz w:val="21"/>
          <w:szCs w:val="21"/>
          <w:lang w:val="en-US" w:eastAsia="zh-CN"/>
        </w:rPr>
        <w:t>收购</w:t>
      </w:r>
      <w:bookmarkStart w:id="3" w:name="OLE_LINK9"/>
      <w:r>
        <w:rPr>
          <w:rFonts w:hint="eastAsia" w:ascii="微软雅黑" w:hAnsi="微软雅黑" w:eastAsia="微软雅黑" w:cs="微软雅黑"/>
          <w:bCs/>
          <w:sz w:val="21"/>
          <w:szCs w:val="21"/>
          <w:lang w:val="en-US" w:eastAsia="zh-CN"/>
        </w:rPr>
        <w:t>小鱼集团（</w:t>
      </w:r>
      <w:bookmarkStart w:id="4" w:name="OLE_LINK14"/>
      <w:r>
        <w:rPr>
          <w:rFonts w:hint="eastAsia" w:ascii="微软雅黑" w:hAnsi="微软雅黑" w:eastAsia="微软雅黑" w:cs="微软雅黑"/>
          <w:bCs/>
          <w:sz w:val="21"/>
          <w:szCs w:val="21"/>
          <w:lang w:val="en-US" w:eastAsia="zh-CN"/>
        </w:rPr>
        <w:t>Ainemo Inc.</w:t>
      </w:r>
      <w:bookmarkEnd w:id="4"/>
      <w:r>
        <w:rPr>
          <w:rFonts w:hint="eastAsia" w:ascii="微软雅黑" w:hAnsi="微软雅黑" w:eastAsia="微软雅黑" w:cs="微软雅黑"/>
          <w:bCs/>
          <w:sz w:val="21"/>
          <w:szCs w:val="21"/>
          <w:lang w:val="en-US" w:eastAsia="zh-CN"/>
        </w:rPr>
        <w:t>）</w:t>
      </w:r>
      <w:bookmarkEnd w:id="3"/>
      <w:r>
        <w:rPr>
          <w:rFonts w:hint="eastAsia" w:ascii="微软雅黑" w:hAnsi="微软雅黑" w:eastAsia="微软雅黑" w:cs="微软雅黑"/>
          <w:bCs/>
          <w:sz w:val="21"/>
          <w:szCs w:val="21"/>
          <w:lang w:val="en-US" w:eastAsia="zh-CN"/>
        </w:rPr>
        <w:t>股权涉嫌违法实施经营者集中案</w:t>
      </w:r>
      <w:bookmarkEnd w:id="2"/>
      <w:r>
        <w:rPr>
          <w:rFonts w:hint="eastAsia" w:ascii="微软雅黑" w:hAnsi="微软雅黑" w:eastAsia="微软雅黑" w:cs="微软雅黑"/>
          <w:kern w:val="2"/>
          <w:sz w:val="21"/>
          <w:szCs w:val="21"/>
        </w:rPr>
        <w:t>进行立案调查。</w:t>
      </w:r>
    </w:p>
    <w:p>
      <w:pPr>
        <w:keepNext w:val="0"/>
        <w:keepLines w:val="0"/>
        <w:pageBreakBefore w:val="0"/>
        <w:widowControl w:val="0"/>
        <w:suppressAutoHyphens/>
        <w:kinsoku/>
        <w:wordWrap/>
        <w:overflowPunct w:val="0"/>
        <w:topLinePunct w:val="0"/>
        <w:autoSpaceDE w:val="0"/>
        <w:autoSpaceDN w:val="0"/>
        <w:bidi w:val="0"/>
        <w:adjustRightInd w:val="0"/>
        <w:spacing w:line="60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经查，该案构成未依法申报违法实施的经营者集中，但不具有排除、限制竞争的效果。本机关按照《行政处罚法》的规定，向</w:t>
      </w:r>
      <w:r>
        <w:rPr>
          <w:rFonts w:hint="eastAsia" w:ascii="微软雅黑" w:hAnsi="微软雅黑" w:eastAsia="微软雅黑" w:cs="微软雅黑"/>
          <w:sz w:val="21"/>
          <w:szCs w:val="21"/>
          <w:lang w:eastAsia="zh-CN"/>
        </w:rPr>
        <w:t>百度控股</w:t>
      </w:r>
      <w:r>
        <w:rPr>
          <w:rFonts w:hint="eastAsia" w:ascii="微软雅黑" w:hAnsi="微软雅黑" w:eastAsia="微软雅黑" w:cs="微软雅黑"/>
          <w:kern w:val="2"/>
          <w:sz w:val="21"/>
          <w:szCs w:val="21"/>
        </w:rPr>
        <w:t>送达了《行政处罚告知书》，告知其拟作出行政处罚决定的事实、理由、证据、处罚内容，以及其依法享有的陈述权、申辩权和要求听证权。</w:t>
      </w:r>
      <w:r>
        <w:rPr>
          <w:rFonts w:hint="eastAsia" w:ascii="微软雅黑" w:hAnsi="微软雅黑" w:eastAsia="微软雅黑" w:cs="微软雅黑"/>
          <w:sz w:val="21"/>
          <w:szCs w:val="21"/>
          <w:lang w:eastAsia="zh-CN"/>
        </w:rPr>
        <w:t>百度控股</w:t>
      </w:r>
      <w:r>
        <w:rPr>
          <w:rFonts w:hint="eastAsia" w:ascii="微软雅黑" w:hAnsi="微软雅黑" w:eastAsia="微软雅黑" w:cs="微软雅黑"/>
          <w:kern w:val="2"/>
          <w:sz w:val="21"/>
          <w:szCs w:val="21"/>
        </w:rPr>
        <w:t>在规定期限内没有提出陈述、申辩意见或要求举行听证。本案现已调查、审理终结。</w:t>
      </w:r>
    </w:p>
    <w:p>
      <w:pPr>
        <w:keepNext w:val="0"/>
        <w:keepLines w:val="0"/>
        <w:pageBreakBefore w:val="0"/>
        <w:widowControl w:val="0"/>
        <w:suppressAutoHyphens/>
        <w:kinsoku/>
        <w:wordWrap/>
        <w:overflowPunct w:val="0"/>
        <w:topLinePunct w:val="0"/>
        <w:autoSpaceDE w:val="0"/>
        <w:autoSpaceDN w:val="0"/>
        <w:bidi w:val="0"/>
        <w:adjustRightInd w:val="0"/>
        <w:spacing w:line="600" w:lineRule="exact"/>
        <w:ind w:firstLine="408" w:firstLineChars="200"/>
        <w:textAlignment w:val="auto"/>
        <w:rPr>
          <w:rFonts w:hint="eastAsia" w:ascii="微软雅黑" w:hAnsi="微软雅黑" w:eastAsia="微软雅黑" w:cs="微软雅黑"/>
          <w:bCs/>
          <w:sz w:val="21"/>
          <w:szCs w:val="21"/>
        </w:rPr>
      </w:pPr>
      <w:r>
        <w:rPr>
          <w:rFonts w:hint="eastAsia" w:ascii="微软雅黑" w:hAnsi="微软雅黑" w:eastAsia="微软雅黑" w:cs="微软雅黑"/>
          <w:bCs/>
          <w:sz w:val="21"/>
          <w:szCs w:val="21"/>
          <w:lang w:eastAsia="zh-CN"/>
        </w:rPr>
        <w:t>一、</w:t>
      </w:r>
      <w:r>
        <w:rPr>
          <w:rFonts w:hint="eastAsia" w:ascii="微软雅黑" w:hAnsi="微软雅黑" w:eastAsia="微软雅黑" w:cs="微软雅黑"/>
          <w:bCs/>
          <w:sz w:val="21"/>
          <w:szCs w:val="21"/>
        </w:rPr>
        <w:t>基本情况</w:t>
      </w:r>
    </w:p>
    <w:p>
      <w:pPr>
        <w:keepNext w:val="0"/>
        <w:keepLines w:val="0"/>
        <w:pageBreakBefore w:val="0"/>
        <w:widowControl w:val="0"/>
        <w:suppressAutoHyphens/>
        <w:kinsoku/>
        <w:wordWrap/>
        <w:overflowPunct w:val="0"/>
        <w:topLinePunct w:val="0"/>
        <w:autoSpaceDE w:val="0"/>
        <w:autoSpaceDN w:val="0"/>
        <w:bidi w:val="0"/>
        <w:adjustRightInd w:val="0"/>
        <w:spacing w:line="600" w:lineRule="exact"/>
        <w:ind w:firstLine="408" w:firstLineChars="200"/>
        <w:textAlignment w:val="auto"/>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（一）交易方。</w:t>
      </w:r>
    </w:p>
    <w:p>
      <w:pPr>
        <w:keepNext w:val="0"/>
        <w:keepLines w:val="0"/>
        <w:pageBreakBefore w:val="0"/>
        <w:widowControl w:val="0"/>
        <w:kinsoku/>
        <w:wordWrap/>
        <w:topLinePunct w:val="0"/>
        <w:bidi w:val="0"/>
        <w:spacing w:line="600" w:lineRule="exact"/>
        <w:ind w:firstLine="408" w:firstLineChars="200"/>
        <w:textAlignment w:val="auto"/>
        <w:rPr>
          <w:rFonts w:hint="eastAsia" w:ascii="微软雅黑" w:hAnsi="微软雅黑" w:eastAsia="微软雅黑" w:cs="微软雅黑"/>
          <w:bCs/>
          <w:sz w:val="21"/>
          <w:szCs w:val="21"/>
        </w:rPr>
      </w:pPr>
      <w:r>
        <w:rPr>
          <w:rFonts w:hint="eastAsia" w:ascii="微软雅黑" w:hAnsi="微软雅黑" w:eastAsia="微软雅黑" w:cs="微软雅黑"/>
          <w:b/>
          <w:bCs w:val="0"/>
          <w:sz w:val="21"/>
          <w:szCs w:val="21"/>
          <w:lang w:val="en-US" w:eastAsia="zh-CN"/>
        </w:rPr>
        <w:t>收购方：</w:t>
      </w:r>
      <w:r>
        <w:rPr>
          <w:rFonts w:hint="eastAsia" w:ascii="微软雅黑" w:hAnsi="微软雅黑" w:eastAsia="微软雅黑" w:cs="微软雅黑"/>
          <w:b/>
          <w:bCs w:val="0"/>
          <w:sz w:val="21"/>
          <w:szCs w:val="21"/>
          <w:lang w:val="en-US" w:eastAsia="zh-CN"/>
        </w:rPr>
        <w:t>百度控股</w:t>
      </w:r>
      <w:r>
        <w:rPr>
          <w:rFonts w:hint="eastAsia" w:ascii="微软雅黑" w:hAnsi="微软雅黑" w:eastAsia="微软雅黑" w:cs="微软雅黑"/>
          <w:b/>
          <w:bCs w:val="0"/>
          <w:sz w:val="21"/>
          <w:szCs w:val="21"/>
          <w:lang w:val="en-US" w:eastAsia="zh-CN"/>
        </w:rPr>
        <w:t>。</w:t>
      </w:r>
      <w:bookmarkStart w:id="5" w:name="OLE_LINK8"/>
      <w:r>
        <w:rPr>
          <w:rFonts w:hint="eastAsia" w:ascii="微软雅黑" w:hAnsi="微软雅黑" w:eastAsia="微软雅黑" w:cs="微软雅黑"/>
          <w:b w:val="0"/>
          <w:bCs/>
          <w:sz w:val="21"/>
          <w:szCs w:val="21"/>
          <w:highlight w:val="none"/>
          <w:lang w:val="en-US" w:eastAsia="zh-CN"/>
        </w:rPr>
        <w:t>1999年11月在英属维尔京群岛注册成立，最终控制人百度开曼公司（Baidu</w:t>
      </w:r>
      <w:r>
        <w:rPr>
          <w:rFonts w:hint="eastAsia" w:ascii="微软雅黑" w:hAnsi="微软雅黑" w:eastAsia="微软雅黑" w:cs="微软雅黑"/>
          <w:b w:val="0"/>
          <w:bCs/>
          <w:sz w:val="21"/>
          <w:szCs w:val="21"/>
          <w:highlight w:val="none"/>
          <w:lang w:val="en-US" w:eastAsia="zh-CN"/>
        </w:rPr>
        <w:t>,</w:t>
      </w:r>
      <w:r>
        <w:rPr>
          <w:rFonts w:hint="eastAsia" w:ascii="微软雅黑" w:hAnsi="微软雅黑" w:eastAsia="微软雅黑" w:cs="微软雅黑"/>
          <w:b w:val="0"/>
          <w:bCs/>
          <w:sz w:val="21"/>
          <w:szCs w:val="21"/>
          <w:highlight w:val="none"/>
          <w:lang w:val="en-US" w:eastAsia="zh-CN"/>
        </w:rPr>
        <w:t>Inc.）持有</w:t>
      </w:r>
      <w:r>
        <w:rPr>
          <w:rFonts w:hint="eastAsia" w:ascii="微软雅黑" w:hAnsi="微软雅黑" w:eastAsia="微软雅黑" w:cs="微软雅黑"/>
          <w:b w:val="0"/>
          <w:bCs/>
          <w:sz w:val="21"/>
          <w:szCs w:val="21"/>
          <w:highlight w:val="none"/>
          <w:lang w:val="en-US" w:eastAsia="zh-CN"/>
        </w:rPr>
        <w:t>百度控股</w:t>
      </w:r>
      <w:r>
        <w:rPr>
          <w:rFonts w:hint="eastAsia" w:ascii="微软雅黑" w:hAnsi="微软雅黑" w:eastAsia="微软雅黑" w:cs="微软雅黑"/>
          <w:b w:val="0"/>
          <w:bCs/>
          <w:sz w:val="21"/>
          <w:szCs w:val="21"/>
          <w:highlight w:val="none"/>
          <w:lang w:val="en-US" w:eastAsia="zh-CN"/>
        </w:rPr>
        <w:t>100%股权</w:t>
      </w:r>
      <w:r>
        <w:rPr>
          <w:rFonts w:hint="eastAsia" w:ascii="微软雅黑" w:hAnsi="微软雅黑" w:eastAsia="微软雅黑" w:cs="微软雅黑"/>
          <w:b w:val="0"/>
          <w:bCs/>
          <w:sz w:val="21"/>
          <w:szCs w:val="21"/>
          <w:highlight w:val="none"/>
          <w:lang w:val="en-US" w:eastAsia="zh-CN"/>
        </w:rPr>
        <w:t>。</w:t>
      </w:r>
      <w:r>
        <w:rPr>
          <w:rFonts w:hint="eastAsia" w:ascii="微软雅黑" w:hAnsi="微软雅黑" w:eastAsia="微软雅黑" w:cs="微软雅黑"/>
          <w:b w:val="0"/>
          <w:bCs/>
          <w:sz w:val="21"/>
          <w:szCs w:val="21"/>
          <w:highlight w:val="none"/>
          <w:lang w:val="en-US" w:eastAsia="zh-CN"/>
        </w:rPr>
        <w:t>2005年8月</w:t>
      </w:r>
      <w:r>
        <w:rPr>
          <w:rFonts w:hint="eastAsia" w:ascii="微软雅黑" w:hAnsi="微软雅黑" w:eastAsia="微软雅黑" w:cs="微软雅黑"/>
          <w:b w:val="0"/>
          <w:bCs/>
          <w:sz w:val="21"/>
          <w:szCs w:val="21"/>
          <w:highlight w:val="none"/>
          <w:lang w:val="en-US" w:eastAsia="zh-CN"/>
        </w:rPr>
        <w:t>，百度控股所属集团</w:t>
      </w:r>
      <w:r>
        <w:rPr>
          <w:rFonts w:hint="eastAsia" w:ascii="微软雅黑" w:hAnsi="微软雅黑" w:eastAsia="微软雅黑" w:cs="微软雅黑"/>
          <w:b w:val="0"/>
          <w:bCs/>
          <w:sz w:val="21"/>
          <w:szCs w:val="21"/>
          <w:highlight w:val="none"/>
          <w:lang w:val="en-US" w:eastAsia="zh-CN"/>
        </w:rPr>
        <w:t>在美国纳斯达克证券交易所上市。百度控股</w:t>
      </w:r>
      <w:r>
        <w:rPr>
          <w:rFonts w:hint="eastAsia" w:ascii="微软雅黑" w:hAnsi="微软雅黑" w:eastAsia="微软雅黑" w:cs="微软雅黑"/>
          <w:b w:val="0"/>
          <w:bCs/>
          <w:sz w:val="21"/>
          <w:szCs w:val="21"/>
          <w:highlight w:val="none"/>
          <w:lang w:val="en-US" w:eastAsia="zh-CN"/>
        </w:rPr>
        <w:t>所属集团</w:t>
      </w:r>
      <w:r>
        <w:rPr>
          <w:rFonts w:hint="eastAsia" w:ascii="微软雅黑" w:hAnsi="微软雅黑" w:eastAsia="微软雅黑" w:cs="微软雅黑"/>
          <w:b w:val="0"/>
          <w:bCs/>
          <w:sz w:val="21"/>
          <w:szCs w:val="21"/>
          <w:highlight w:val="none"/>
          <w:lang w:val="en-US" w:eastAsia="zh-CN"/>
        </w:rPr>
        <w:t>主要从事移动生态、智能云、智能生活、智能交通等业务。百度控股</w:t>
      </w:r>
      <w:r>
        <w:rPr>
          <w:rFonts w:hint="eastAsia" w:ascii="微软雅黑" w:hAnsi="微软雅黑" w:eastAsia="微软雅黑" w:cs="微软雅黑"/>
          <w:b w:val="0"/>
          <w:bCs/>
          <w:sz w:val="21"/>
          <w:szCs w:val="21"/>
          <w:highlight w:val="none"/>
          <w:lang w:val="en-US" w:eastAsia="zh-CN"/>
        </w:rPr>
        <w:t>所属集团</w:t>
      </w:r>
      <w:r>
        <w:rPr>
          <w:rFonts w:hint="eastAsia" w:ascii="微软雅黑" w:hAnsi="微软雅黑" w:eastAsia="微软雅黑" w:cs="微软雅黑"/>
          <w:b w:val="0"/>
          <w:bCs/>
          <w:sz w:val="21"/>
          <w:szCs w:val="21"/>
          <w:highlight w:val="none"/>
          <w:lang w:val="en-US" w:eastAsia="zh-CN"/>
        </w:rPr>
        <w:t>2019年全球营业额为</w:t>
      </w:r>
      <w:r>
        <w:rPr>
          <w:rFonts w:hint="eastAsia" w:ascii="微软雅黑" w:hAnsi="微软雅黑" w:eastAsia="微软雅黑" w:cs="微软雅黑"/>
          <w:sz w:val="21"/>
          <w:szCs w:val="21"/>
          <w:lang w:val="en-US" w:eastAsia="zh-CN"/>
        </w:rPr>
        <w:t>（略）</w:t>
      </w:r>
      <w:r>
        <w:rPr>
          <w:rFonts w:hint="eastAsia" w:ascii="微软雅黑" w:hAnsi="微软雅黑" w:eastAsia="微软雅黑" w:cs="微软雅黑"/>
          <w:b w:val="0"/>
          <w:bCs/>
          <w:sz w:val="21"/>
          <w:szCs w:val="21"/>
          <w:highlight w:val="none"/>
          <w:lang w:val="en-US" w:eastAsia="zh-CN"/>
        </w:rPr>
        <w:t>亿元人民币（币种下同），中国境内营业额为</w:t>
      </w:r>
      <w:r>
        <w:rPr>
          <w:rFonts w:hint="eastAsia" w:ascii="微软雅黑" w:hAnsi="微软雅黑" w:eastAsia="微软雅黑" w:cs="微软雅黑"/>
          <w:sz w:val="21"/>
          <w:szCs w:val="21"/>
          <w:lang w:val="en-US" w:eastAsia="zh-CN"/>
        </w:rPr>
        <w:t>（略）</w:t>
      </w:r>
      <w:r>
        <w:rPr>
          <w:rFonts w:hint="eastAsia" w:ascii="微软雅黑" w:hAnsi="微软雅黑" w:eastAsia="微软雅黑" w:cs="微软雅黑"/>
          <w:b w:val="0"/>
          <w:bCs/>
          <w:sz w:val="21"/>
          <w:szCs w:val="21"/>
          <w:highlight w:val="none"/>
          <w:lang w:val="en-US" w:eastAsia="zh-CN"/>
        </w:rPr>
        <w:t>亿元。</w:t>
      </w:r>
      <w:bookmarkEnd w:id="5"/>
    </w:p>
    <w:p>
      <w:pPr>
        <w:keepNext w:val="0"/>
        <w:keepLines w:val="0"/>
        <w:pageBreakBefore w:val="0"/>
        <w:widowControl w:val="0"/>
        <w:kinsoku/>
        <w:wordWrap/>
        <w:topLinePunct w:val="0"/>
        <w:bidi w:val="0"/>
        <w:spacing w:line="600" w:lineRule="exact"/>
        <w:ind w:firstLine="408" w:firstLineChars="200"/>
        <w:textAlignment w:val="auto"/>
        <w:rPr>
          <w:rFonts w:hint="eastAsia" w:ascii="微软雅黑" w:hAnsi="微软雅黑" w:eastAsia="微软雅黑" w:cs="微软雅黑"/>
          <w:bCs/>
          <w:sz w:val="21"/>
          <w:szCs w:val="21"/>
        </w:rPr>
      </w:pPr>
      <w:r>
        <w:rPr>
          <w:rFonts w:hint="eastAsia" w:ascii="微软雅黑" w:hAnsi="微软雅黑" w:eastAsia="微软雅黑" w:cs="微软雅黑"/>
          <w:b/>
          <w:bCs w:val="0"/>
          <w:sz w:val="21"/>
          <w:szCs w:val="21"/>
        </w:rPr>
        <w:t>被收购方：</w:t>
      </w:r>
      <w:r>
        <w:rPr>
          <w:rFonts w:hint="eastAsia" w:ascii="微软雅黑" w:hAnsi="微软雅黑" w:eastAsia="微软雅黑" w:cs="微软雅黑"/>
          <w:b/>
          <w:bCs w:val="0"/>
          <w:sz w:val="21"/>
          <w:szCs w:val="21"/>
          <w:lang w:eastAsia="zh-CN"/>
        </w:rPr>
        <w:t>小鱼集团</w:t>
      </w:r>
      <w:r>
        <w:rPr>
          <w:rFonts w:hint="eastAsia" w:ascii="微软雅黑" w:hAnsi="微软雅黑" w:eastAsia="微软雅黑" w:cs="微软雅黑"/>
          <w:b/>
          <w:bCs w:val="0"/>
          <w:sz w:val="21"/>
          <w:szCs w:val="21"/>
          <w:lang w:eastAsia="zh-CN"/>
        </w:rPr>
        <w:t>。</w:t>
      </w:r>
      <w:bookmarkStart w:id="6" w:name="OLE_LINK10"/>
      <w:r>
        <w:rPr>
          <w:rFonts w:hint="eastAsia" w:ascii="微软雅黑" w:hAnsi="微软雅黑" w:eastAsia="微软雅黑" w:cs="微软雅黑"/>
          <w:b w:val="0"/>
          <w:bCs/>
          <w:sz w:val="21"/>
          <w:szCs w:val="21"/>
        </w:rPr>
        <w:t>20</w:t>
      </w:r>
      <w:r>
        <w:rPr>
          <w:rFonts w:hint="eastAsia" w:ascii="微软雅黑" w:hAnsi="微软雅黑" w:eastAsia="微软雅黑" w:cs="微软雅黑"/>
          <w:b w:val="0"/>
          <w:bCs/>
          <w:sz w:val="21"/>
          <w:szCs w:val="21"/>
          <w:lang w:val="en-US" w:eastAsia="zh-CN"/>
        </w:rPr>
        <w:t>14</w:t>
      </w:r>
      <w:r>
        <w:rPr>
          <w:rFonts w:hint="eastAsia" w:ascii="微软雅黑" w:hAnsi="微软雅黑" w:eastAsia="微软雅黑" w:cs="微软雅黑"/>
          <w:b w:val="0"/>
          <w:bCs/>
          <w:sz w:val="21"/>
          <w:szCs w:val="21"/>
        </w:rPr>
        <w:t>年</w:t>
      </w:r>
      <w:r>
        <w:rPr>
          <w:rFonts w:hint="eastAsia" w:ascii="微软雅黑" w:hAnsi="微软雅黑" w:eastAsia="微软雅黑" w:cs="微软雅黑"/>
          <w:b w:val="0"/>
          <w:bCs/>
          <w:sz w:val="21"/>
          <w:szCs w:val="21"/>
          <w:lang w:val="en-US" w:eastAsia="zh-CN"/>
        </w:rPr>
        <w:t>2月</w:t>
      </w:r>
      <w:r>
        <w:rPr>
          <w:rFonts w:hint="eastAsia" w:ascii="微软雅黑" w:hAnsi="微软雅黑" w:eastAsia="微软雅黑" w:cs="微软雅黑"/>
          <w:b w:val="0"/>
          <w:bCs/>
          <w:sz w:val="21"/>
          <w:szCs w:val="21"/>
          <w:lang w:eastAsia="zh-CN"/>
        </w:rPr>
        <w:t>在</w:t>
      </w:r>
      <w:r>
        <w:rPr>
          <w:rFonts w:hint="eastAsia" w:ascii="微软雅黑" w:hAnsi="微软雅黑" w:eastAsia="微软雅黑" w:cs="微软雅黑"/>
          <w:b w:val="0"/>
          <w:bCs/>
          <w:sz w:val="21"/>
          <w:szCs w:val="21"/>
        </w:rPr>
        <w:t>开曼群岛</w:t>
      </w:r>
      <w:r>
        <w:rPr>
          <w:rFonts w:hint="eastAsia" w:ascii="微软雅黑" w:hAnsi="微软雅黑" w:eastAsia="微软雅黑" w:cs="微软雅黑"/>
          <w:b w:val="0"/>
          <w:bCs/>
          <w:sz w:val="21"/>
          <w:szCs w:val="21"/>
          <w:lang w:eastAsia="zh-CN"/>
        </w:rPr>
        <w:t>注册</w:t>
      </w:r>
      <w:r>
        <w:rPr>
          <w:rFonts w:hint="eastAsia" w:ascii="微软雅黑" w:hAnsi="微软雅黑" w:eastAsia="微软雅黑" w:cs="微软雅黑"/>
          <w:b w:val="0"/>
          <w:bCs/>
          <w:sz w:val="21"/>
          <w:szCs w:val="21"/>
        </w:rPr>
        <w:t>成立，</w:t>
      </w:r>
      <w:r>
        <w:rPr>
          <w:rFonts w:hint="eastAsia" w:ascii="微软雅黑" w:hAnsi="微软雅黑" w:eastAsia="微软雅黑" w:cs="微软雅黑"/>
          <w:b w:val="0"/>
          <w:bCs/>
          <w:sz w:val="21"/>
          <w:szCs w:val="21"/>
          <w:lang w:eastAsia="zh-CN"/>
        </w:rPr>
        <w:t>间接持有北京小鱼儿网络科技有限公司</w:t>
      </w:r>
      <w:r>
        <w:rPr>
          <w:rFonts w:hint="eastAsia" w:ascii="微软雅黑" w:hAnsi="微软雅黑" w:eastAsia="微软雅黑" w:cs="微软雅黑"/>
          <w:b w:val="0"/>
          <w:bCs/>
          <w:sz w:val="21"/>
          <w:szCs w:val="21"/>
          <w:lang w:val="en-US" w:eastAsia="zh-CN"/>
        </w:rPr>
        <w:t>100%股权，</w:t>
      </w:r>
      <w:r>
        <w:rPr>
          <w:rFonts w:hint="eastAsia" w:ascii="微软雅黑" w:hAnsi="微软雅黑" w:eastAsia="微软雅黑" w:cs="微软雅黑"/>
          <w:b w:val="0"/>
          <w:bCs/>
          <w:sz w:val="21"/>
          <w:szCs w:val="21"/>
        </w:rPr>
        <w:t>主要</w:t>
      </w:r>
      <w:r>
        <w:rPr>
          <w:rFonts w:hint="eastAsia" w:ascii="微软雅黑" w:hAnsi="微软雅黑" w:eastAsia="微软雅黑" w:cs="微软雅黑"/>
          <w:b w:val="0"/>
          <w:bCs/>
          <w:sz w:val="21"/>
          <w:szCs w:val="21"/>
          <w:lang w:eastAsia="zh-CN"/>
        </w:rPr>
        <w:t>从事</w:t>
      </w:r>
      <w:bookmarkStart w:id="7" w:name="OLE_LINK2"/>
      <w:bookmarkStart w:id="8" w:name="OLE_LINK3"/>
      <w:r>
        <w:rPr>
          <w:rFonts w:hint="eastAsia" w:ascii="微软雅黑" w:hAnsi="微软雅黑" w:eastAsia="微软雅黑" w:cs="微软雅黑"/>
          <w:b w:val="0"/>
          <w:bCs/>
          <w:sz w:val="21"/>
          <w:szCs w:val="21"/>
          <w:lang w:eastAsia="zh-CN"/>
        </w:rPr>
        <w:t>智能家居产品及其软件的研发和生产</w:t>
      </w:r>
      <w:bookmarkEnd w:id="7"/>
      <w:r>
        <w:rPr>
          <w:rFonts w:hint="eastAsia" w:ascii="微软雅黑" w:hAnsi="微软雅黑" w:eastAsia="微软雅黑" w:cs="微软雅黑"/>
          <w:b w:val="0"/>
          <w:bCs/>
          <w:sz w:val="21"/>
          <w:szCs w:val="21"/>
          <w:lang w:eastAsia="zh-CN"/>
        </w:rPr>
        <w:t>业务</w:t>
      </w:r>
      <w:bookmarkEnd w:id="8"/>
      <w:r>
        <w:rPr>
          <w:rFonts w:hint="eastAsia" w:ascii="微软雅黑" w:hAnsi="微软雅黑" w:eastAsia="微软雅黑" w:cs="微软雅黑"/>
          <w:b w:val="0"/>
          <w:bCs/>
          <w:sz w:val="21"/>
          <w:szCs w:val="21"/>
          <w:lang w:eastAsia="zh-CN"/>
        </w:rPr>
        <w:t>，</w:t>
      </w:r>
      <w:r>
        <w:rPr>
          <w:rFonts w:hint="eastAsia" w:ascii="微软雅黑" w:hAnsi="微软雅黑" w:eastAsia="微软雅黑" w:cs="微软雅黑"/>
          <w:b w:val="0"/>
          <w:bCs/>
          <w:sz w:val="21"/>
          <w:szCs w:val="21"/>
          <w:lang w:eastAsia="zh-CN"/>
        </w:rPr>
        <w:t>包括</w:t>
      </w:r>
      <w:r>
        <w:rPr>
          <w:rFonts w:hint="eastAsia" w:ascii="微软雅黑" w:hAnsi="微软雅黑" w:eastAsia="微软雅黑" w:cs="微软雅黑"/>
          <w:b w:val="0"/>
          <w:bCs/>
          <w:sz w:val="21"/>
          <w:szCs w:val="21"/>
          <w:lang w:eastAsia="zh-CN"/>
        </w:rPr>
        <w:t>为百度控股提供智能语音音箱代工服务</w:t>
      </w:r>
      <w:r>
        <w:rPr>
          <w:rFonts w:hint="eastAsia" w:ascii="微软雅黑" w:hAnsi="微软雅黑" w:eastAsia="微软雅黑" w:cs="微软雅黑"/>
          <w:b w:val="0"/>
          <w:bCs/>
          <w:sz w:val="21"/>
          <w:szCs w:val="21"/>
        </w:rPr>
        <w:t>。</w:t>
      </w:r>
      <w:r>
        <w:rPr>
          <w:rFonts w:hint="eastAsia" w:ascii="微软雅黑" w:hAnsi="微软雅黑" w:eastAsia="微软雅黑" w:cs="微软雅黑"/>
          <w:b w:val="0"/>
          <w:bCs/>
          <w:sz w:val="21"/>
          <w:szCs w:val="21"/>
          <w:lang w:eastAsia="zh-CN"/>
        </w:rPr>
        <w:t>小鱼集团</w:t>
      </w:r>
      <w:r>
        <w:rPr>
          <w:rFonts w:hint="eastAsia" w:ascii="微软雅黑" w:hAnsi="微软雅黑" w:eastAsia="微软雅黑" w:cs="微软雅黑"/>
          <w:b w:val="0"/>
          <w:bCs/>
          <w:sz w:val="21"/>
          <w:szCs w:val="21"/>
          <w:lang w:val="en-US" w:eastAsia="zh-CN"/>
        </w:rPr>
        <w:t>2019</w:t>
      </w:r>
      <w:r>
        <w:rPr>
          <w:rFonts w:hint="eastAsia" w:ascii="微软雅黑" w:hAnsi="微软雅黑" w:eastAsia="微软雅黑" w:cs="微软雅黑"/>
          <w:b w:val="0"/>
          <w:bCs/>
          <w:sz w:val="21"/>
          <w:szCs w:val="21"/>
        </w:rPr>
        <w:t>年全球营业额为</w:t>
      </w:r>
      <w:r>
        <w:rPr>
          <w:rFonts w:hint="eastAsia" w:ascii="微软雅黑" w:hAnsi="微软雅黑" w:eastAsia="微软雅黑" w:cs="微软雅黑"/>
          <w:sz w:val="21"/>
          <w:szCs w:val="21"/>
          <w:lang w:val="en-US" w:eastAsia="zh-CN"/>
        </w:rPr>
        <w:t>（略）</w:t>
      </w:r>
      <w:r>
        <w:rPr>
          <w:rFonts w:hint="eastAsia" w:ascii="微软雅黑" w:hAnsi="微软雅黑" w:eastAsia="微软雅黑" w:cs="微软雅黑"/>
          <w:b w:val="0"/>
          <w:bCs/>
          <w:sz w:val="21"/>
          <w:szCs w:val="21"/>
          <w:lang w:eastAsia="zh-CN"/>
        </w:rPr>
        <w:t>亿</w:t>
      </w:r>
      <w:r>
        <w:rPr>
          <w:rFonts w:hint="eastAsia" w:ascii="微软雅黑" w:hAnsi="微软雅黑" w:eastAsia="微软雅黑" w:cs="微软雅黑"/>
          <w:b w:val="0"/>
          <w:bCs/>
          <w:sz w:val="21"/>
          <w:szCs w:val="21"/>
        </w:rPr>
        <w:t>元</w:t>
      </w:r>
      <w:r>
        <w:rPr>
          <w:rFonts w:hint="eastAsia" w:ascii="微软雅黑" w:hAnsi="微软雅黑" w:eastAsia="微软雅黑" w:cs="微软雅黑"/>
          <w:b w:val="0"/>
          <w:bCs/>
          <w:sz w:val="21"/>
          <w:szCs w:val="21"/>
          <w:lang w:eastAsia="zh-CN"/>
        </w:rPr>
        <w:t>，</w:t>
      </w:r>
      <w:r>
        <w:rPr>
          <w:rFonts w:hint="eastAsia" w:ascii="微软雅黑" w:hAnsi="微软雅黑" w:eastAsia="微软雅黑" w:cs="微软雅黑"/>
          <w:b w:val="0"/>
          <w:bCs/>
          <w:sz w:val="21"/>
          <w:szCs w:val="21"/>
        </w:rPr>
        <w:t>中国境内营业额为</w:t>
      </w:r>
      <w:r>
        <w:rPr>
          <w:rFonts w:hint="eastAsia" w:ascii="微软雅黑" w:hAnsi="微软雅黑" w:eastAsia="微软雅黑" w:cs="微软雅黑"/>
          <w:sz w:val="21"/>
          <w:szCs w:val="21"/>
          <w:lang w:val="en-US" w:eastAsia="zh-CN"/>
        </w:rPr>
        <w:t>（略）</w:t>
      </w:r>
      <w:r>
        <w:rPr>
          <w:rFonts w:hint="eastAsia" w:ascii="微软雅黑" w:hAnsi="微软雅黑" w:eastAsia="微软雅黑" w:cs="微软雅黑"/>
          <w:b w:val="0"/>
          <w:bCs/>
          <w:sz w:val="21"/>
          <w:szCs w:val="21"/>
          <w:lang w:eastAsia="zh-CN"/>
        </w:rPr>
        <w:t>亿</w:t>
      </w:r>
      <w:r>
        <w:rPr>
          <w:rFonts w:hint="eastAsia" w:ascii="微软雅黑" w:hAnsi="微软雅黑" w:eastAsia="微软雅黑" w:cs="微软雅黑"/>
          <w:b w:val="0"/>
          <w:bCs/>
          <w:sz w:val="21"/>
          <w:szCs w:val="21"/>
        </w:rPr>
        <w:t>元。</w:t>
      </w:r>
      <w:bookmarkEnd w:id="6"/>
    </w:p>
    <w:p>
      <w:pPr>
        <w:keepNext w:val="0"/>
        <w:keepLines w:val="0"/>
        <w:pageBreakBefore w:val="0"/>
        <w:widowControl w:val="0"/>
        <w:suppressAutoHyphens/>
        <w:kinsoku/>
        <w:wordWrap/>
        <w:overflowPunct w:val="0"/>
        <w:topLinePunct w:val="0"/>
        <w:autoSpaceDE w:val="0"/>
        <w:autoSpaceDN w:val="0"/>
        <w:bidi w:val="0"/>
        <w:adjustRightInd w:val="0"/>
        <w:spacing w:line="600" w:lineRule="exact"/>
        <w:ind w:firstLine="408" w:firstLineChars="200"/>
        <w:textAlignment w:val="auto"/>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（二）交易概况。</w:t>
      </w:r>
    </w:p>
    <w:p>
      <w:pPr>
        <w:keepNext w:val="0"/>
        <w:keepLines w:val="0"/>
        <w:pageBreakBefore w:val="0"/>
        <w:widowControl w:val="0"/>
        <w:kinsoku/>
        <w:wordWrap/>
        <w:topLinePunct w:val="0"/>
        <w:bidi w:val="0"/>
        <w:spacing w:line="600" w:lineRule="exact"/>
        <w:ind w:firstLine="408"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本交易系股权收购</w:t>
      </w:r>
      <w:r>
        <w:rPr>
          <w:rFonts w:hint="eastAsia" w:ascii="微软雅黑" w:hAnsi="微软雅黑" w:eastAsia="微软雅黑" w:cs="微软雅黑"/>
          <w:sz w:val="21"/>
          <w:szCs w:val="21"/>
          <w:lang w:eastAsia="zh-CN"/>
        </w:rPr>
        <w:t>。2020年4月27日，百度控股以</w:t>
      </w:r>
      <w:r>
        <w:rPr>
          <w:rFonts w:hint="eastAsia" w:ascii="微软雅黑" w:hAnsi="微软雅黑" w:eastAsia="微软雅黑" w:cs="微软雅黑"/>
          <w:sz w:val="21"/>
          <w:szCs w:val="21"/>
          <w:lang w:val="en-US" w:eastAsia="zh-CN"/>
        </w:rPr>
        <w:t>（略）</w:t>
      </w:r>
      <w:r>
        <w:rPr>
          <w:rFonts w:hint="eastAsia" w:ascii="微软雅黑" w:hAnsi="微软雅黑" w:eastAsia="微软雅黑" w:cs="微软雅黑"/>
          <w:sz w:val="21"/>
          <w:szCs w:val="21"/>
          <w:lang w:val="en-US" w:eastAsia="zh-CN"/>
        </w:rPr>
        <w:t>亿元</w:t>
      </w:r>
      <w:r>
        <w:rPr>
          <w:rFonts w:hint="eastAsia" w:ascii="微软雅黑" w:hAnsi="微软雅黑" w:eastAsia="微软雅黑" w:cs="微软雅黑"/>
          <w:sz w:val="21"/>
          <w:szCs w:val="21"/>
          <w:lang w:eastAsia="zh-CN"/>
        </w:rPr>
        <w:t>收购小鱼集团</w:t>
      </w:r>
      <w:r>
        <w:rPr>
          <w:rFonts w:hint="eastAsia" w:ascii="微软雅黑" w:hAnsi="微软雅黑" w:eastAsia="微软雅黑" w:cs="微软雅黑"/>
          <w:sz w:val="21"/>
          <w:szCs w:val="21"/>
          <w:lang w:val="en-US" w:eastAsia="zh-CN"/>
        </w:rPr>
        <w:t>52.764%</w:t>
      </w:r>
      <w:r>
        <w:rPr>
          <w:rFonts w:hint="eastAsia" w:ascii="微软雅黑" w:hAnsi="微软雅黑" w:eastAsia="微软雅黑" w:cs="微软雅黑"/>
          <w:sz w:val="21"/>
          <w:szCs w:val="21"/>
          <w:lang w:eastAsia="zh-CN"/>
        </w:rPr>
        <w:t>股权</w:t>
      </w:r>
      <w:r>
        <w:rPr>
          <w:rFonts w:hint="eastAsia" w:ascii="微软雅黑" w:hAnsi="微软雅黑" w:eastAsia="微软雅黑" w:cs="微软雅黑"/>
          <w:sz w:val="21"/>
          <w:szCs w:val="21"/>
        </w:rPr>
        <w:t>。20</w:t>
      </w:r>
      <w:r>
        <w:rPr>
          <w:rFonts w:hint="eastAsia" w:ascii="微软雅黑" w:hAnsi="微软雅黑" w:eastAsia="微软雅黑" w:cs="微软雅黑"/>
          <w:sz w:val="21"/>
          <w:szCs w:val="21"/>
          <w:lang w:val="en-US" w:eastAsia="zh-CN"/>
        </w:rPr>
        <w:t>20</w:t>
      </w:r>
      <w:r>
        <w:rPr>
          <w:rFonts w:hint="eastAsia" w:ascii="微软雅黑" w:hAnsi="微软雅黑" w:eastAsia="微软雅黑" w:cs="微软雅黑"/>
          <w:sz w:val="21"/>
          <w:szCs w:val="21"/>
        </w:rPr>
        <w:t>年</w:t>
      </w:r>
      <w:r>
        <w:rPr>
          <w:rFonts w:hint="eastAsia" w:ascii="微软雅黑" w:hAnsi="微软雅黑" w:eastAsia="微软雅黑" w:cs="微软雅黑"/>
          <w:sz w:val="21"/>
          <w:szCs w:val="21"/>
          <w:lang w:val="en-US" w:eastAsia="zh-CN"/>
        </w:rPr>
        <w:t>7</w:t>
      </w:r>
      <w:r>
        <w:rPr>
          <w:rFonts w:hint="eastAsia" w:ascii="微软雅黑" w:hAnsi="微软雅黑" w:eastAsia="微软雅黑" w:cs="微软雅黑"/>
          <w:sz w:val="21"/>
          <w:szCs w:val="21"/>
        </w:rPr>
        <w:t>月</w:t>
      </w:r>
      <w:r>
        <w:rPr>
          <w:rFonts w:hint="eastAsia" w:ascii="微软雅黑" w:hAnsi="微软雅黑" w:eastAsia="微软雅黑" w:cs="微软雅黑"/>
          <w:sz w:val="21"/>
          <w:szCs w:val="21"/>
          <w:lang w:val="en-US" w:eastAsia="zh-CN"/>
        </w:rPr>
        <w:t>16</w:t>
      </w:r>
      <w:r>
        <w:rPr>
          <w:rFonts w:hint="eastAsia" w:ascii="微软雅黑" w:hAnsi="微软雅黑" w:eastAsia="微软雅黑" w:cs="微软雅黑"/>
          <w:sz w:val="21"/>
          <w:szCs w:val="21"/>
        </w:rPr>
        <w:t>日</w:t>
      </w:r>
      <w:r>
        <w:rPr>
          <w:rFonts w:hint="eastAsia" w:ascii="微软雅黑" w:hAnsi="微软雅黑" w:eastAsia="微软雅黑" w:cs="微软雅黑"/>
          <w:sz w:val="21"/>
          <w:szCs w:val="21"/>
          <w:lang w:eastAsia="zh-CN"/>
        </w:rPr>
        <w:t>，小鱼集团</w:t>
      </w:r>
      <w:r>
        <w:rPr>
          <w:rFonts w:hint="eastAsia" w:ascii="微软雅黑" w:hAnsi="微软雅黑" w:eastAsia="微软雅黑" w:cs="微软雅黑"/>
          <w:sz w:val="21"/>
          <w:szCs w:val="21"/>
        </w:rPr>
        <w:t>完成股权变更登记。</w:t>
      </w:r>
    </w:p>
    <w:p>
      <w:pPr>
        <w:keepNext w:val="0"/>
        <w:keepLines w:val="0"/>
        <w:pageBreakBefore w:val="0"/>
        <w:widowControl w:val="0"/>
        <w:suppressAutoHyphens/>
        <w:kinsoku/>
        <w:wordWrap/>
        <w:overflowPunct w:val="0"/>
        <w:topLinePunct w:val="0"/>
        <w:autoSpaceDE w:val="0"/>
        <w:autoSpaceDN w:val="0"/>
        <w:bidi w:val="0"/>
        <w:adjustRightInd w:val="0"/>
        <w:spacing w:line="60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二、违法事实及理由</w:t>
      </w:r>
    </w:p>
    <w:p>
      <w:pPr>
        <w:keepNext w:val="0"/>
        <w:keepLines w:val="0"/>
        <w:pageBreakBefore w:val="0"/>
        <w:widowControl w:val="0"/>
        <w:kinsoku/>
        <w:wordWrap/>
        <w:topLinePunct w:val="0"/>
        <w:bidi w:val="0"/>
        <w:snapToGrid/>
        <w:spacing w:line="600" w:lineRule="exact"/>
        <w:ind w:firstLine="408" w:firstLineChars="200"/>
        <w:textAlignment w:val="auto"/>
        <w:outlineLvl w:val="0"/>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（一）本案构成未依法申报</w:t>
      </w:r>
      <w:r>
        <w:rPr>
          <w:rFonts w:hint="eastAsia" w:ascii="微软雅黑" w:hAnsi="微软雅黑" w:eastAsia="微软雅黑" w:cs="微软雅黑"/>
          <w:b/>
          <w:bCs/>
          <w:sz w:val="21"/>
          <w:szCs w:val="21"/>
          <w:lang w:eastAsia="zh-CN"/>
        </w:rPr>
        <w:t>违法</w:t>
      </w:r>
      <w:r>
        <w:rPr>
          <w:rFonts w:hint="eastAsia" w:ascii="微软雅黑" w:hAnsi="微软雅黑" w:eastAsia="微软雅黑" w:cs="微软雅黑"/>
          <w:b/>
          <w:bCs/>
          <w:sz w:val="21"/>
          <w:szCs w:val="21"/>
        </w:rPr>
        <w:t>实施的经营者集中。</w:t>
      </w:r>
    </w:p>
    <w:p>
      <w:pPr>
        <w:keepNext w:val="0"/>
        <w:keepLines w:val="0"/>
        <w:pageBreakBefore w:val="0"/>
        <w:widowControl w:val="0"/>
        <w:kinsoku/>
        <w:wordWrap/>
        <w:topLinePunct w:val="0"/>
        <w:bidi w:val="0"/>
        <w:spacing w:line="600" w:lineRule="exact"/>
        <w:ind w:firstLine="408"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《反垄断法》第二十条规定</w:t>
      </w:r>
      <w:r>
        <w:rPr>
          <w:rFonts w:hint="eastAsia" w:ascii="微软雅黑" w:hAnsi="微软雅黑" w:eastAsia="微软雅黑" w:cs="微软雅黑"/>
          <w:sz w:val="21"/>
          <w:szCs w:val="21"/>
          <w:lang w:val="en-US" w:eastAsia="zh-CN"/>
        </w:rPr>
        <w:t>“经营者集中是指下列情形：（一）经营者合并；（二）经营者通过取得股权或者资产的方式取得对其他经营者的控制权；（三）经营者通过合同等方式取得对其他经营者的控制权或者能够对其他经营者施加决定性影响”。</w:t>
      </w:r>
      <w:bookmarkStart w:id="9" w:name="OLE_LINK48"/>
      <w:r>
        <w:rPr>
          <w:rFonts w:hint="eastAsia" w:ascii="微软雅黑" w:hAnsi="微软雅黑" w:eastAsia="微软雅黑" w:cs="微软雅黑"/>
          <w:sz w:val="21"/>
          <w:szCs w:val="21"/>
          <w:lang w:val="en-US" w:eastAsia="zh-CN"/>
        </w:rPr>
        <w:t>2020年4月，</w:t>
      </w:r>
      <w:r>
        <w:rPr>
          <w:rFonts w:hint="eastAsia" w:ascii="微软雅黑" w:hAnsi="微软雅黑" w:eastAsia="微软雅黑" w:cs="微软雅黑"/>
          <w:sz w:val="21"/>
          <w:szCs w:val="21"/>
          <w:lang w:eastAsia="zh-CN"/>
        </w:rPr>
        <w:t>百度控股收购小鱼集团</w:t>
      </w:r>
      <w:r>
        <w:rPr>
          <w:rFonts w:hint="eastAsia" w:ascii="微软雅黑" w:hAnsi="微软雅黑" w:eastAsia="微软雅黑" w:cs="微软雅黑"/>
          <w:sz w:val="21"/>
          <w:szCs w:val="21"/>
          <w:lang w:val="en-US" w:eastAsia="zh-CN"/>
        </w:rPr>
        <w:t>52.764%</w:t>
      </w:r>
      <w:r>
        <w:rPr>
          <w:rFonts w:hint="eastAsia" w:ascii="微软雅黑" w:hAnsi="微软雅黑" w:eastAsia="微软雅黑" w:cs="微软雅黑"/>
          <w:sz w:val="21"/>
          <w:szCs w:val="21"/>
          <w:lang w:eastAsia="zh-CN"/>
        </w:rPr>
        <w:t>的股权，取得小鱼集团单独控制权，属于《反垄断法》第二十条规定的经营者集中。</w:t>
      </w:r>
      <w:bookmarkEnd w:id="9"/>
    </w:p>
    <w:p>
      <w:pPr>
        <w:keepNext w:val="0"/>
        <w:keepLines w:val="0"/>
        <w:pageBreakBefore w:val="0"/>
        <w:widowControl w:val="0"/>
        <w:kinsoku/>
        <w:wordWrap/>
        <w:topLinePunct w:val="0"/>
        <w:bidi w:val="0"/>
        <w:spacing w:line="600" w:lineRule="exact"/>
        <w:ind w:firstLine="408" w:firstLineChars="200"/>
        <w:textAlignment w:val="auto"/>
        <w:rPr>
          <w:rFonts w:hint="eastAsia" w:ascii="微软雅黑" w:hAnsi="微软雅黑" w:eastAsia="微软雅黑" w:cs="微软雅黑"/>
          <w:sz w:val="21"/>
          <w:szCs w:val="21"/>
          <w:lang w:eastAsia="zh-CN"/>
        </w:rPr>
      </w:pPr>
      <w:bookmarkStart w:id="10" w:name="OLE_LINK49"/>
      <w:r>
        <w:rPr>
          <w:rFonts w:hint="eastAsia" w:ascii="微软雅黑" w:hAnsi="微软雅黑" w:eastAsia="微软雅黑" w:cs="微软雅黑"/>
          <w:sz w:val="21"/>
          <w:szCs w:val="21"/>
          <w:lang w:eastAsia="zh-CN"/>
        </w:rPr>
        <w:t>百度控股</w:t>
      </w:r>
      <w:r>
        <w:rPr>
          <w:rFonts w:hint="eastAsia" w:ascii="微软雅黑" w:hAnsi="微软雅黑" w:eastAsia="微软雅黑" w:cs="微软雅黑"/>
          <w:sz w:val="21"/>
          <w:szCs w:val="21"/>
          <w:lang w:eastAsia="zh-CN"/>
        </w:rPr>
        <w:t>所属集团</w:t>
      </w:r>
      <w:r>
        <w:rPr>
          <w:rFonts w:hint="eastAsia" w:ascii="微软雅黑" w:hAnsi="微软雅黑" w:eastAsia="微软雅黑" w:cs="微软雅黑"/>
          <w:sz w:val="21"/>
          <w:szCs w:val="21"/>
          <w:lang w:val="en-US" w:eastAsia="zh-CN"/>
        </w:rPr>
        <w:t>2019</w:t>
      </w:r>
      <w:r>
        <w:rPr>
          <w:rFonts w:hint="eastAsia" w:ascii="微软雅黑" w:hAnsi="微软雅黑" w:eastAsia="微软雅黑" w:cs="微软雅黑"/>
          <w:sz w:val="21"/>
          <w:szCs w:val="21"/>
          <w:lang w:eastAsia="zh-CN"/>
        </w:rPr>
        <w:t>年全球营业额为</w:t>
      </w:r>
      <w:r>
        <w:rPr>
          <w:rFonts w:hint="eastAsia" w:ascii="微软雅黑" w:hAnsi="微软雅黑" w:eastAsia="微软雅黑" w:cs="微软雅黑"/>
          <w:sz w:val="21"/>
          <w:szCs w:val="21"/>
          <w:lang w:val="en-US" w:eastAsia="zh-CN"/>
        </w:rPr>
        <w:t>（略）</w:t>
      </w:r>
      <w:r>
        <w:rPr>
          <w:rFonts w:hint="eastAsia" w:ascii="微软雅黑" w:hAnsi="微软雅黑" w:eastAsia="微软雅黑" w:cs="微软雅黑"/>
          <w:sz w:val="21"/>
          <w:szCs w:val="21"/>
          <w:lang w:eastAsia="zh-CN"/>
        </w:rPr>
        <w:t>亿元，中国境内营业额为</w:t>
      </w:r>
      <w:r>
        <w:rPr>
          <w:rFonts w:hint="eastAsia" w:ascii="微软雅黑" w:hAnsi="微软雅黑" w:eastAsia="微软雅黑" w:cs="微软雅黑"/>
          <w:sz w:val="21"/>
          <w:szCs w:val="21"/>
          <w:lang w:val="en-US" w:eastAsia="zh-CN"/>
        </w:rPr>
        <w:t>（略）</w:t>
      </w:r>
      <w:r>
        <w:rPr>
          <w:rFonts w:hint="eastAsia" w:ascii="微软雅黑" w:hAnsi="微软雅黑" w:eastAsia="微软雅黑" w:cs="微软雅黑"/>
          <w:sz w:val="21"/>
          <w:szCs w:val="21"/>
          <w:lang w:eastAsia="zh-CN"/>
        </w:rPr>
        <w:t>亿元；小鱼集团</w:t>
      </w:r>
      <w:r>
        <w:rPr>
          <w:rFonts w:hint="eastAsia" w:ascii="微软雅黑" w:hAnsi="微软雅黑" w:eastAsia="微软雅黑" w:cs="微软雅黑"/>
          <w:sz w:val="21"/>
          <w:szCs w:val="21"/>
          <w:lang w:val="en-US" w:eastAsia="zh-CN"/>
        </w:rPr>
        <w:t>2019</w:t>
      </w:r>
      <w:r>
        <w:rPr>
          <w:rFonts w:hint="eastAsia" w:ascii="微软雅黑" w:hAnsi="微软雅黑" w:eastAsia="微软雅黑" w:cs="微软雅黑"/>
          <w:sz w:val="21"/>
          <w:szCs w:val="21"/>
          <w:lang w:eastAsia="zh-CN"/>
        </w:rPr>
        <w:t>年全球营业额为</w:t>
      </w:r>
      <w:r>
        <w:rPr>
          <w:rFonts w:hint="eastAsia" w:ascii="微软雅黑" w:hAnsi="微软雅黑" w:eastAsia="微软雅黑" w:cs="微软雅黑"/>
          <w:sz w:val="21"/>
          <w:szCs w:val="21"/>
          <w:lang w:val="en-US" w:eastAsia="zh-CN"/>
        </w:rPr>
        <w:t>（略）</w:t>
      </w:r>
      <w:r>
        <w:rPr>
          <w:rFonts w:hint="eastAsia" w:ascii="微软雅黑" w:hAnsi="微软雅黑" w:eastAsia="微软雅黑" w:cs="微软雅黑"/>
          <w:sz w:val="21"/>
          <w:szCs w:val="21"/>
          <w:lang w:eastAsia="zh-CN"/>
        </w:rPr>
        <w:t>亿元，中国境内营业额为</w:t>
      </w:r>
      <w:r>
        <w:rPr>
          <w:rFonts w:hint="eastAsia" w:ascii="微软雅黑" w:hAnsi="微软雅黑" w:eastAsia="微软雅黑" w:cs="微软雅黑"/>
          <w:sz w:val="21"/>
          <w:szCs w:val="21"/>
          <w:lang w:val="en-US" w:eastAsia="zh-CN"/>
        </w:rPr>
        <w:t>（略）</w:t>
      </w:r>
      <w:r>
        <w:rPr>
          <w:rFonts w:hint="eastAsia" w:ascii="微软雅黑" w:hAnsi="微软雅黑" w:eastAsia="微软雅黑" w:cs="微软雅黑"/>
          <w:sz w:val="21"/>
          <w:szCs w:val="21"/>
          <w:lang w:eastAsia="zh-CN"/>
        </w:rPr>
        <w:t>亿元，达到《国务院关于经营者集中申报标准的规定》第三条规定的申报标准，属于应当申报的情形。</w:t>
      </w:r>
      <w:bookmarkEnd w:id="10"/>
    </w:p>
    <w:p>
      <w:pPr>
        <w:keepNext w:val="0"/>
        <w:keepLines w:val="0"/>
        <w:pageBreakBefore w:val="0"/>
        <w:widowControl w:val="0"/>
        <w:kinsoku/>
        <w:wordWrap/>
        <w:topLinePunct w:val="0"/>
        <w:bidi w:val="0"/>
        <w:spacing w:line="600" w:lineRule="exact"/>
        <w:ind w:firstLine="408"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《反垄断法》第二十一条规定“经营者集中达到国务院规定的申报标准的，经营者应当事先向国务院反垄断执法机构申报，未申报的不得实施集中”。20</w:t>
      </w:r>
      <w:r>
        <w:rPr>
          <w:rFonts w:hint="eastAsia" w:ascii="微软雅黑" w:hAnsi="微软雅黑" w:eastAsia="微软雅黑" w:cs="微软雅黑"/>
          <w:sz w:val="21"/>
          <w:szCs w:val="21"/>
          <w:lang w:val="en-US" w:eastAsia="zh-CN"/>
        </w:rPr>
        <w:t>20</w:t>
      </w:r>
      <w:r>
        <w:rPr>
          <w:rFonts w:hint="eastAsia" w:ascii="微软雅黑" w:hAnsi="微软雅黑" w:eastAsia="微软雅黑" w:cs="微软雅黑"/>
          <w:sz w:val="21"/>
          <w:szCs w:val="21"/>
          <w:lang w:eastAsia="zh-CN"/>
        </w:rPr>
        <w:t>年</w:t>
      </w:r>
      <w:r>
        <w:rPr>
          <w:rFonts w:hint="eastAsia" w:ascii="微软雅黑" w:hAnsi="微软雅黑" w:eastAsia="微软雅黑" w:cs="微软雅黑"/>
          <w:sz w:val="21"/>
          <w:szCs w:val="21"/>
          <w:lang w:val="en-US" w:eastAsia="zh-CN"/>
        </w:rPr>
        <w:t>7</w:t>
      </w:r>
      <w:r>
        <w:rPr>
          <w:rFonts w:hint="eastAsia" w:ascii="微软雅黑" w:hAnsi="微软雅黑" w:eastAsia="微软雅黑" w:cs="微软雅黑"/>
          <w:sz w:val="21"/>
          <w:szCs w:val="21"/>
          <w:lang w:eastAsia="zh-CN"/>
        </w:rPr>
        <w:t>月</w:t>
      </w:r>
      <w:r>
        <w:rPr>
          <w:rFonts w:hint="eastAsia" w:ascii="微软雅黑" w:hAnsi="微软雅黑" w:eastAsia="微软雅黑" w:cs="微软雅黑"/>
          <w:sz w:val="21"/>
          <w:szCs w:val="21"/>
          <w:lang w:val="en-US" w:eastAsia="zh-CN"/>
        </w:rPr>
        <w:t>16</w:t>
      </w:r>
      <w:r>
        <w:rPr>
          <w:rFonts w:hint="eastAsia" w:ascii="微软雅黑" w:hAnsi="微软雅黑" w:eastAsia="微软雅黑" w:cs="微软雅黑"/>
          <w:sz w:val="21"/>
          <w:szCs w:val="21"/>
          <w:lang w:eastAsia="zh-CN"/>
        </w:rPr>
        <w:t>日，小鱼集团完成股权变更登记，在此之前未向本机关申报，违反《反垄断法》第</w:t>
      </w:r>
      <w:r>
        <w:rPr>
          <w:rFonts w:hint="eastAsia" w:ascii="微软雅黑" w:hAnsi="微软雅黑" w:eastAsia="微软雅黑" w:cs="微软雅黑"/>
          <w:sz w:val="21"/>
          <w:szCs w:val="21"/>
          <w:lang w:val="en-US" w:eastAsia="zh-CN"/>
        </w:rPr>
        <w:t>二十一</w:t>
      </w:r>
      <w:r>
        <w:rPr>
          <w:rFonts w:hint="eastAsia" w:ascii="微软雅黑" w:hAnsi="微软雅黑" w:eastAsia="微软雅黑" w:cs="微软雅黑"/>
          <w:sz w:val="21"/>
          <w:szCs w:val="21"/>
          <w:lang w:eastAsia="zh-CN"/>
        </w:rPr>
        <w:t>条，构成未依法申报违法实施的经营者集中。</w:t>
      </w:r>
    </w:p>
    <w:p>
      <w:pPr>
        <w:keepNext w:val="0"/>
        <w:keepLines w:val="0"/>
        <w:pageBreakBefore w:val="0"/>
        <w:widowControl w:val="0"/>
        <w:kinsoku/>
        <w:wordWrap/>
        <w:topLinePunct w:val="0"/>
        <w:bidi w:val="0"/>
        <w:snapToGrid/>
        <w:spacing w:line="600" w:lineRule="exact"/>
        <w:ind w:firstLine="408" w:firstLineChars="200"/>
        <w:textAlignment w:val="auto"/>
        <w:outlineLvl w:val="0"/>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（二）本案不具有排除、限制竞争的效果。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60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本机关就</w:t>
      </w:r>
      <w:r>
        <w:rPr>
          <w:rFonts w:hint="eastAsia" w:ascii="微软雅黑" w:hAnsi="微软雅黑" w:eastAsia="微软雅黑" w:cs="微软雅黑"/>
          <w:kern w:val="2"/>
          <w:sz w:val="21"/>
          <w:szCs w:val="21"/>
          <w:lang w:eastAsia="zh-CN"/>
        </w:rPr>
        <w:t>百度控股收购小鱼集团股权</w:t>
      </w:r>
      <w:r>
        <w:rPr>
          <w:rFonts w:hint="eastAsia" w:ascii="微软雅黑" w:hAnsi="微软雅黑" w:eastAsia="微软雅黑" w:cs="微软雅黑"/>
          <w:kern w:val="2"/>
          <w:sz w:val="21"/>
          <w:szCs w:val="21"/>
        </w:rPr>
        <w:t>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60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三、行政处罚依据和决定</w:t>
      </w:r>
    </w:p>
    <w:p>
      <w:pPr>
        <w:keepNext w:val="0"/>
        <w:keepLines w:val="0"/>
        <w:pageBreakBefore w:val="0"/>
        <w:widowControl w:val="0"/>
        <w:kinsoku/>
        <w:wordWrap/>
        <w:topLinePunct w:val="0"/>
        <w:bidi w:val="0"/>
        <w:spacing w:line="600" w:lineRule="exact"/>
        <w:ind w:firstLine="400" w:firstLineChars="196"/>
        <w:textAlignment w:val="auto"/>
        <w:rPr>
          <w:rFonts w:hint="eastAsia" w:ascii="微软雅黑" w:hAnsi="微软雅黑" w:eastAsia="微软雅黑" w:cs="微软雅黑"/>
          <w:bCs/>
          <w:color w:val="000000"/>
          <w:kern w:val="2"/>
          <w:sz w:val="21"/>
          <w:szCs w:val="21"/>
          <w:lang w:eastAsia="zh-CN"/>
        </w:rPr>
      </w:pPr>
      <w:r>
        <w:rPr>
          <w:rFonts w:hint="eastAsia" w:ascii="微软雅黑" w:hAnsi="微软雅黑" w:eastAsia="微软雅黑" w:cs="微软雅黑"/>
          <w:bCs/>
          <w:color w:val="000000"/>
          <w:kern w:val="2"/>
          <w:sz w:val="21"/>
          <w:szCs w:val="21"/>
        </w:rPr>
        <w:t>《反垄断法》第四十八条</w:t>
      </w:r>
      <w:r>
        <w:rPr>
          <w:rFonts w:hint="eastAsia" w:ascii="微软雅黑" w:hAnsi="微软雅黑" w:eastAsia="微软雅黑" w:cs="微软雅黑"/>
          <w:bCs/>
          <w:color w:val="000000"/>
          <w:kern w:val="2"/>
          <w:sz w:val="21"/>
          <w:szCs w:val="21"/>
          <w:lang w:eastAsia="zh-CN"/>
        </w:rPr>
        <w:t>规定“经营者违反本法规定实施集中的，由国务院反垄断执法机构责令停止实施集中、限期处分股份或者资产、限期转让营业以及采取其他必要措施恢复到集中前的状态，可以处五十万元以下的罚款”。</w:t>
      </w:r>
      <w:r>
        <w:rPr>
          <w:rFonts w:hint="eastAsia" w:ascii="微软雅黑" w:hAnsi="微软雅黑" w:eastAsia="微软雅黑" w:cs="微软雅黑"/>
          <w:bCs/>
          <w:color w:val="000000"/>
          <w:kern w:val="2"/>
          <w:sz w:val="21"/>
          <w:szCs w:val="21"/>
        </w:rPr>
        <w:t>《反垄断法》第四十九条</w:t>
      </w:r>
      <w:r>
        <w:rPr>
          <w:rFonts w:hint="eastAsia" w:ascii="微软雅黑" w:hAnsi="微软雅黑" w:eastAsia="微软雅黑" w:cs="微软雅黑"/>
          <w:bCs/>
          <w:color w:val="000000"/>
          <w:kern w:val="2"/>
          <w:sz w:val="21"/>
          <w:szCs w:val="21"/>
          <w:lang w:eastAsia="zh-CN"/>
        </w:rPr>
        <w:t>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kinsoku/>
        <w:wordWrap/>
        <w:topLinePunct w:val="0"/>
        <w:bidi w:val="0"/>
        <w:spacing w:line="600" w:lineRule="exact"/>
        <w:ind w:firstLine="400" w:firstLineChars="196"/>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bCs/>
          <w:color w:val="000000"/>
          <w:kern w:val="2"/>
          <w:sz w:val="21"/>
          <w:szCs w:val="21"/>
        </w:rPr>
        <w:t>根据</w:t>
      </w:r>
      <w:r>
        <w:rPr>
          <w:rFonts w:hint="eastAsia" w:ascii="微软雅黑" w:hAnsi="微软雅黑" w:eastAsia="微软雅黑" w:cs="微软雅黑"/>
          <w:bCs/>
          <w:color w:val="000000"/>
          <w:kern w:val="2"/>
          <w:sz w:val="21"/>
          <w:szCs w:val="21"/>
          <w:lang w:eastAsia="zh-CN"/>
        </w:rPr>
        <w:t>上述规定，</w:t>
      </w:r>
      <w:r>
        <w:rPr>
          <w:rFonts w:hint="eastAsia" w:ascii="微软雅黑" w:hAnsi="微软雅黑" w:eastAsia="微软雅黑" w:cs="微软雅黑"/>
          <w:kern w:val="2"/>
          <w:sz w:val="21"/>
          <w:szCs w:val="21"/>
        </w:rPr>
        <w:t>基于上述调查情况和评估结论，本机关</w:t>
      </w:r>
      <w:r>
        <w:rPr>
          <w:rFonts w:hint="eastAsia" w:ascii="微软雅黑" w:hAnsi="微软雅黑" w:eastAsia="微软雅黑" w:cs="微软雅黑"/>
          <w:bCs/>
          <w:color w:val="000000"/>
          <w:kern w:val="2"/>
          <w:sz w:val="21"/>
          <w:szCs w:val="21"/>
        </w:rPr>
        <w:t>给予</w:t>
      </w:r>
      <w:r>
        <w:rPr>
          <w:rFonts w:hint="eastAsia" w:ascii="微软雅黑" w:hAnsi="微软雅黑" w:eastAsia="微软雅黑" w:cs="微软雅黑"/>
          <w:bCs/>
          <w:color w:val="000000"/>
          <w:kern w:val="2"/>
          <w:sz w:val="21"/>
          <w:szCs w:val="21"/>
          <w:lang w:val="en-US" w:eastAsia="zh-CN"/>
        </w:rPr>
        <w:t>百度控股</w:t>
      </w:r>
      <w:r>
        <w:rPr>
          <w:rFonts w:hint="eastAsia" w:ascii="微软雅黑" w:hAnsi="微软雅黑" w:eastAsia="微软雅黑" w:cs="微软雅黑"/>
          <w:bCs/>
          <w:color w:val="000000"/>
          <w:kern w:val="2"/>
          <w:sz w:val="21"/>
          <w:szCs w:val="21"/>
          <w:lang w:val="en-US" w:eastAsia="zh-CN"/>
        </w:rPr>
        <w:t>50万元人民币</w:t>
      </w:r>
      <w:r>
        <w:rPr>
          <w:rFonts w:hint="eastAsia" w:ascii="微软雅黑" w:hAnsi="微软雅黑" w:eastAsia="微软雅黑" w:cs="微软雅黑"/>
          <w:bCs/>
          <w:color w:val="000000"/>
          <w:kern w:val="2"/>
          <w:sz w:val="21"/>
          <w:szCs w:val="21"/>
        </w:rPr>
        <w:t>罚款的行政处罚。</w:t>
      </w:r>
    </w:p>
    <w:p>
      <w:pPr>
        <w:keepNext w:val="0"/>
        <w:keepLines w:val="0"/>
        <w:pageBreakBefore w:val="0"/>
        <w:widowControl w:val="0"/>
        <w:suppressAutoHyphens/>
        <w:kinsoku/>
        <w:wordWrap/>
        <w:overflowPunct w:val="0"/>
        <w:topLinePunct w:val="0"/>
        <w:autoSpaceDE w:val="0"/>
        <w:autoSpaceDN w:val="0"/>
        <w:bidi w:val="0"/>
        <w:adjustRightInd w:val="0"/>
        <w:spacing w:line="600" w:lineRule="exact"/>
        <w:ind w:firstLine="408" w:firstLineChars="200"/>
        <w:textAlignment w:val="auto"/>
        <w:rPr>
          <w:rFonts w:hint="eastAsia" w:ascii="微软雅黑" w:hAnsi="微软雅黑" w:eastAsia="微软雅黑" w:cs="微软雅黑"/>
          <w:kern w:val="2"/>
          <w:sz w:val="21"/>
          <w:szCs w:val="21"/>
          <w:lang w:eastAsia="zh-CN"/>
        </w:rPr>
      </w:pPr>
      <w:r>
        <w:rPr>
          <w:rFonts w:hint="eastAsia" w:ascii="微软雅黑" w:hAnsi="微软雅黑" w:eastAsia="微软雅黑" w:cs="微软雅黑"/>
          <w:kern w:val="2"/>
          <w:sz w:val="21"/>
          <w:szCs w:val="21"/>
        </w:rPr>
        <w:t>《行政处罚法》第四十六条规定</w:t>
      </w:r>
      <w:r>
        <w:rPr>
          <w:rFonts w:hint="eastAsia" w:ascii="微软雅黑" w:hAnsi="微软雅黑" w:eastAsia="微软雅黑" w:cs="微软雅黑"/>
          <w:kern w:val="2"/>
          <w:sz w:val="21"/>
          <w:szCs w:val="21"/>
          <w:lang w:eastAsia="zh-CN"/>
        </w:rPr>
        <w:t>“作出罚款决定的行政机关应当与收缴罚款的机构分离。除依照本法第四十七条、第四十八条的规定当场收缴的罚款外，作出行政处罚决定的行政机关及其执法人员不得自行收缴罚款。当事人应当自收到行政处罚决定书之日起十五日内，到指定的银行缴纳罚款。银行应当收受罚款，并将罚款直接上缴国库”。</w:t>
      </w:r>
    </w:p>
    <w:p>
      <w:pPr>
        <w:keepNext w:val="0"/>
        <w:keepLines w:val="0"/>
        <w:pageBreakBefore w:val="0"/>
        <w:widowControl w:val="0"/>
        <w:suppressAutoHyphens/>
        <w:kinsoku/>
        <w:wordWrap/>
        <w:overflowPunct w:val="0"/>
        <w:topLinePunct w:val="0"/>
        <w:autoSpaceDE w:val="0"/>
        <w:autoSpaceDN w:val="0"/>
        <w:bidi w:val="0"/>
        <w:adjustRightInd w:val="0"/>
        <w:spacing w:line="60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当事</w:t>
      </w:r>
      <w:r>
        <w:rPr>
          <w:rFonts w:hint="eastAsia" w:ascii="微软雅黑" w:hAnsi="微软雅黑" w:eastAsia="微软雅黑" w:cs="微软雅黑"/>
          <w:kern w:val="2"/>
          <w:sz w:val="21"/>
          <w:szCs w:val="21"/>
          <w:lang w:eastAsia="zh-CN"/>
        </w:rPr>
        <w:t>人</w:t>
      </w:r>
      <w:r>
        <w:rPr>
          <w:rFonts w:hint="eastAsia" w:ascii="微软雅黑" w:hAnsi="微软雅黑" w:eastAsia="微软雅黑" w:cs="微软雅黑"/>
          <w:kern w:val="2"/>
          <w:sz w:val="21"/>
          <w:szCs w:val="21"/>
        </w:rPr>
        <w:t>应当自收到本行政处罚决定书之日起十五日内，根据本行政处罚决定书，携缴款码到12家中央财政非税收入收缴代理银行（工、农、中、建、交、中信、光大、招商、邮储、华夏、平安、兴业）任一银行网点或者网上银行交纳罚款。缴款码</w:t>
      </w:r>
      <w:r>
        <w:rPr>
          <w:rFonts w:hint="eastAsia" w:ascii="微软雅黑" w:hAnsi="微软雅黑" w:eastAsia="微软雅黑" w:cs="微软雅黑"/>
          <w:kern w:val="2"/>
          <w:sz w:val="21"/>
          <w:szCs w:val="21"/>
          <w:lang w:eastAsia="zh-CN"/>
        </w:rPr>
        <w:t>为</w:t>
      </w:r>
      <w:r>
        <w:rPr>
          <w:rFonts w:hint="eastAsia" w:ascii="微软雅黑" w:hAnsi="微软雅黑" w:eastAsia="微软雅黑" w:cs="微软雅黑"/>
          <w:kern w:val="2"/>
          <w:sz w:val="21"/>
          <w:szCs w:val="21"/>
        </w:rPr>
        <w:t>：</w:t>
      </w:r>
      <w:r>
        <w:rPr>
          <w:rFonts w:hint="eastAsia" w:ascii="微软雅黑" w:hAnsi="微软雅黑" w:eastAsia="微软雅黑" w:cs="微软雅黑"/>
          <w:kern w:val="2"/>
          <w:sz w:val="21"/>
          <w:szCs w:val="21"/>
          <w:lang w:val="en-US" w:eastAsia="zh-CN"/>
        </w:rPr>
        <w:t>0000002100081653</w:t>
      </w:r>
      <w:r>
        <w:rPr>
          <w:rFonts w:hint="eastAsia" w:ascii="微软雅黑" w:hAnsi="微软雅黑" w:eastAsia="微软雅黑" w:cs="微软雅黑"/>
          <w:kern w:val="2"/>
          <w:sz w:val="21"/>
          <w:szCs w:val="21"/>
        </w:rPr>
        <w:t>。</w:t>
      </w:r>
    </w:p>
    <w:p>
      <w:pPr>
        <w:keepNext w:val="0"/>
        <w:keepLines w:val="0"/>
        <w:pageBreakBefore w:val="0"/>
        <w:widowControl w:val="0"/>
        <w:suppressAutoHyphens/>
        <w:kinsoku/>
        <w:wordWrap/>
        <w:overflowPunct w:val="0"/>
        <w:topLinePunct w:val="0"/>
        <w:autoSpaceDE w:val="0"/>
        <w:autoSpaceDN w:val="0"/>
        <w:bidi w:val="0"/>
        <w:adjustRightInd w:val="0"/>
        <w:spacing w:line="60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当事</w:t>
      </w:r>
      <w:r>
        <w:rPr>
          <w:rFonts w:hint="eastAsia" w:ascii="微软雅黑" w:hAnsi="微软雅黑" w:eastAsia="微软雅黑" w:cs="微软雅黑"/>
          <w:kern w:val="2"/>
          <w:sz w:val="21"/>
          <w:szCs w:val="21"/>
          <w:lang w:eastAsia="zh-CN"/>
        </w:rPr>
        <w:t>人</w:t>
      </w:r>
      <w:r>
        <w:rPr>
          <w:rFonts w:hint="eastAsia" w:ascii="微软雅黑" w:hAnsi="微软雅黑" w:eastAsia="微软雅黑" w:cs="微软雅黑"/>
          <w:kern w:val="2"/>
          <w:sz w:val="21"/>
          <w:szCs w:val="21"/>
        </w:rPr>
        <w:t xml:space="preserve">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 </w:t>
      </w:r>
    </w:p>
    <w:p>
      <w:pPr>
        <w:pStyle w:val="2"/>
        <w:rPr>
          <w:rFonts w:hint="eastAsia" w:ascii="微软雅黑" w:hAnsi="微软雅黑" w:eastAsia="微软雅黑" w:cs="微软雅黑"/>
          <w:sz w:val="21"/>
          <w:szCs w:val="21"/>
        </w:rPr>
      </w:pPr>
    </w:p>
    <w:p>
      <w:pPr>
        <w:keepNext w:val="0"/>
        <w:keepLines w:val="0"/>
        <w:pageBreakBefore w:val="0"/>
        <w:widowControl w:val="0"/>
        <w:kinsoku/>
        <w:wordWrap/>
        <w:topLinePunct w:val="0"/>
        <w:bidi w:val="0"/>
        <w:snapToGrid w:val="0"/>
        <w:spacing w:line="600" w:lineRule="exact"/>
        <w:ind w:firstLine="3530" w:firstLineChars="1730"/>
        <w:textAlignment w:val="auto"/>
        <w:rPr>
          <w:rFonts w:hint="eastAsia" w:ascii="微软雅黑" w:hAnsi="微软雅黑" w:eastAsia="微软雅黑" w:cs="微软雅黑"/>
          <w:kern w:val="2"/>
          <w:sz w:val="21"/>
          <w:szCs w:val="21"/>
        </w:rPr>
      </w:pPr>
    </w:p>
    <w:p>
      <w:pPr>
        <w:keepNext w:val="0"/>
        <w:keepLines w:val="0"/>
        <w:pageBreakBefore w:val="0"/>
        <w:widowControl w:val="0"/>
        <w:kinsoku/>
        <w:wordWrap/>
        <w:topLinePunct w:val="0"/>
        <w:bidi w:val="0"/>
        <w:snapToGrid w:val="0"/>
        <w:spacing w:line="600" w:lineRule="exact"/>
        <w:ind w:firstLine="3530" w:firstLineChars="173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市场监管总局</w:t>
      </w:r>
    </w:p>
    <w:p>
      <w:pPr>
        <w:keepNext w:val="0"/>
        <w:keepLines w:val="0"/>
        <w:pageBreakBefore w:val="0"/>
        <w:widowControl w:val="0"/>
        <w:kinsoku/>
        <w:wordWrap/>
        <w:topLinePunct w:val="0"/>
        <w:bidi w:val="0"/>
        <w:snapToGrid w:val="0"/>
        <w:spacing w:line="600" w:lineRule="exact"/>
        <w:ind w:firstLine="3395" w:firstLineChars="1664"/>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202</w:t>
      </w:r>
      <w:r>
        <w:rPr>
          <w:rFonts w:hint="eastAsia" w:ascii="微软雅黑" w:hAnsi="微软雅黑" w:eastAsia="微软雅黑" w:cs="微软雅黑"/>
          <w:kern w:val="2"/>
          <w:sz w:val="21"/>
          <w:szCs w:val="21"/>
          <w:lang w:val="en-US" w:eastAsia="zh-CN"/>
        </w:rPr>
        <w:t>1</w:t>
      </w:r>
      <w:r>
        <w:rPr>
          <w:rFonts w:hint="eastAsia" w:ascii="微软雅黑" w:hAnsi="微软雅黑" w:eastAsia="微软雅黑" w:cs="微软雅黑"/>
          <w:kern w:val="2"/>
          <w:sz w:val="21"/>
          <w:szCs w:val="21"/>
        </w:rPr>
        <w:t>年</w:t>
      </w:r>
      <w:r>
        <w:rPr>
          <w:rFonts w:hint="eastAsia" w:ascii="微软雅黑" w:hAnsi="微软雅黑" w:eastAsia="微软雅黑" w:cs="微软雅黑"/>
          <w:kern w:val="2"/>
          <w:sz w:val="21"/>
          <w:szCs w:val="21"/>
          <w:lang w:val="en-US" w:eastAsia="zh-CN"/>
        </w:rPr>
        <w:t>3</w:t>
      </w:r>
      <w:r>
        <w:rPr>
          <w:rFonts w:hint="eastAsia" w:ascii="微软雅黑" w:hAnsi="微软雅黑" w:eastAsia="微软雅黑" w:cs="微软雅黑"/>
          <w:kern w:val="2"/>
          <w:sz w:val="21"/>
          <w:szCs w:val="21"/>
        </w:rPr>
        <w:t>月</w:t>
      </w:r>
      <w:r>
        <w:rPr>
          <w:rFonts w:hint="eastAsia" w:ascii="微软雅黑" w:hAnsi="微软雅黑" w:eastAsia="微软雅黑" w:cs="微软雅黑"/>
          <w:kern w:val="2"/>
          <w:sz w:val="21"/>
          <w:szCs w:val="21"/>
          <w:lang w:val="en-US" w:eastAsia="zh-CN"/>
        </w:rPr>
        <w:t xml:space="preserve">12 </w:t>
      </w:r>
      <w:r>
        <w:rPr>
          <w:rFonts w:hint="eastAsia" w:ascii="微软雅黑" w:hAnsi="微软雅黑" w:eastAsia="微软雅黑" w:cs="微软雅黑"/>
          <w:kern w:val="2"/>
          <w:sz w:val="21"/>
          <w:szCs w:val="21"/>
        </w:rPr>
        <w:t>日</w:t>
      </w:r>
    </w:p>
    <w:p>
      <w:pPr>
        <w:keepNext w:val="0"/>
        <w:keepLines w:val="0"/>
        <w:pageBreakBefore w:val="0"/>
        <w:widowControl w:val="0"/>
        <w:kinsoku/>
        <w:wordWrap/>
        <w:topLinePunct w:val="0"/>
        <w:bidi w:val="0"/>
        <w:spacing w:line="60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（此件公开发布）</w:t>
      </w:r>
    </w:p>
    <w:bookmarkEnd w:id="11"/>
    <w:sectPr>
      <w:footerReference r:id="rId3" w:type="default"/>
      <w:footerReference r:id="rId4" w:type="even"/>
      <w:pgSz w:w="11906" w:h="16838"/>
      <w:pgMar w:top="2098" w:right="1474" w:bottom="1985" w:left="1474" w:header="851" w:footer="1814" w:gutter="0"/>
      <w:cols w:space="720" w:num="1"/>
      <w:docGrid w:type="linesAndChars" w:linePitch="289"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15" w:leftChars="150" w:right="315" w:rightChars="150"/>
      <w:rPr>
        <w:rStyle w:val="8"/>
        <w:rFonts w:hint="eastAsia" w:ascii="宋体" w:hAnsi="宋体"/>
        <w:sz w:val="28"/>
        <w:szCs w:val="28"/>
      </w:rPr>
    </w:pPr>
    <w:r>
      <w:rPr>
        <w:rStyle w:val="8"/>
        <w:rFonts w:hint="eastAsia" w:ascii="宋体" w:hAnsi="宋体"/>
        <w:sz w:val="28"/>
        <w:szCs w:val="28"/>
      </w:rPr>
      <w:t xml:space="preserve">— </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1</w:t>
    </w:r>
    <w:r>
      <w:rPr>
        <w:rStyle w:val="8"/>
        <w:rFonts w:ascii="宋体" w:hAnsi="宋体"/>
        <w:sz w:val="28"/>
        <w:szCs w:val="28"/>
      </w:rPr>
      <w:fldChar w:fldCharType="end"/>
    </w:r>
    <w:r>
      <w:rPr>
        <w:rStyle w:val="8"/>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hyphenationZone w:val="360"/>
  <w:drawingGridHorizontalSpacing w:val="102"/>
  <w:drawingGridVerticalSpacing w:val="28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0581"/>
    <w:rsid w:val="000548A3"/>
    <w:rsid w:val="000827DF"/>
    <w:rsid w:val="00091794"/>
    <w:rsid w:val="00104DF8"/>
    <w:rsid w:val="0012430A"/>
    <w:rsid w:val="00133F5C"/>
    <w:rsid w:val="001377A0"/>
    <w:rsid w:val="00157F53"/>
    <w:rsid w:val="001659F5"/>
    <w:rsid w:val="001D38FA"/>
    <w:rsid w:val="001D41C2"/>
    <w:rsid w:val="00215C4B"/>
    <w:rsid w:val="002211B6"/>
    <w:rsid w:val="00224158"/>
    <w:rsid w:val="00234B72"/>
    <w:rsid w:val="00245423"/>
    <w:rsid w:val="00252E7C"/>
    <w:rsid w:val="00290548"/>
    <w:rsid w:val="00295562"/>
    <w:rsid w:val="002A1B6C"/>
    <w:rsid w:val="002A7578"/>
    <w:rsid w:val="002D4659"/>
    <w:rsid w:val="002D6CFB"/>
    <w:rsid w:val="002D7588"/>
    <w:rsid w:val="002F155E"/>
    <w:rsid w:val="0031556A"/>
    <w:rsid w:val="00373D66"/>
    <w:rsid w:val="003A1E45"/>
    <w:rsid w:val="003A4782"/>
    <w:rsid w:val="003D3BC1"/>
    <w:rsid w:val="003D6E20"/>
    <w:rsid w:val="003F7ACA"/>
    <w:rsid w:val="004715CB"/>
    <w:rsid w:val="004A3B22"/>
    <w:rsid w:val="004A6137"/>
    <w:rsid w:val="004B0121"/>
    <w:rsid w:val="004B1754"/>
    <w:rsid w:val="004B55D7"/>
    <w:rsid w:val="004B6FC4"/>
    <w:rsid w:val="004B7197"/>
    <w:rsid w:val="004C4C76"/>
    <w:rsid w:val="005036C6"/>
    <w:rsid w:val="00521A14"/>
    <w:rsid w:val="00550A0E"/>
    <w:rsid w:val="005701B7"/>
    <w:rsid w:val="0057731C"/>
    <w:rsid w:val="005834E9"/>
    <w:rsid w:val="00583867"/>
    <w:rsid w:val="00587D8A"/>
    <w:rsid w:val="005927DC"/>
    <w:rsid w:val="005B5018"/>
    <w:rsid w:val="005D07A8"/>
    <w:rsid w:val="005D48B1"/>
    <w:rsid w:val="00604C0E"/>
    <w:rsid w:val="00614049"/>
    <w:rsid w:val="00630C68"/>
    <w:rsid w:val="00655AF9"/>
    <w:rsid w:val="00656161"/>
    <w:rsid w:val="006578EE"/>
    <w:rsid w:val="00660A94"/>
    <w:rsid w:val="00661399"/>
    <w:rsid w:val="0066394B"/>
    <w:rsid w:val="006A3757"/>
    <w:rsid w:val="006A50C5"/>
    <w:rsid w:val="006A5BC7"/>
    <w:rsid w:val="006B5883"/>
    <w:rsid w:val="006C3A6D"/>
    <w:rsid w:val="006D4879"/>
    <w:rsid w:val="006E715E"/>
    <w:rsid w:val="00703F3B"/>
    <w:rsid w:val="00705AB4"/>
    <w:rsid w:val="00725EB8"/>
    <w:rsid w:val="0073264D"/>
    <w:rsid w:val="0076009F"/>
    <w:rsid w:val="007754D3"/>
    <w:rsid w:val="007B40DF"/>
    <w:rsid w:val="007C5FFE"/>
    <w:rsid w:val="007E404F"/>
    <w:rsid w:val="008039F4"/>
    <w:rsid w:val="008421E5"/>
    <w:rsid w:val="008546C0"/>
    <w:rsid w:val="0086703C"/>
    <w:rsid w:val="00880EEE"/>
    <w:rsid w:val="008A6262"/>
    <w:rsid w:val="008C4F45"/>
    <w:rsid w:val="008C74C9"/>
    <w:rsid w:val="008F7380"/>
    <w:rsid w:val="009054BC"/>
    <w:rsid w:val="00933B18"/>
    <w:rsid w:val="009766E6"/>
    <w:rsid w:val="009C1DFA"/>
    <w:rsid w:val="009C2E79"/>
    <w:rsid w:val="009C64B1"/>
    <w:rsid w:val="00A1167A"/>
    <w:rsid w:val="00A43255"/>
    <w:rsid w:val="00A43444"/>
    <w:rsid w:val="00A579FA"/>
    <w:rsid w:val="00A64434"/>
    <w:rsid w:val="00A863CB"/>
    <w:rsid w:val="00AA210A"/>
    <w:rsid w:val="00AF28DA"/>
    <w:rsid w:val="00AF75F0"/>
    <w:rsid w:val="00B219BA"/>
    <w:rsid w:val="00B26526"/>
    <w:rsid w:val="00B63EEB"/>
    <w:rsid w:val="00B73583"/>
    <w:rsid w:val="00B76FB1"/>
    <w:rsid w:val="00B94346"/>
    <w:rsid w:val="00B948A7"/>
    <w:rsid w:val="00B972B7"/>
    <w:rsid w:val="00BA16FE"/>
    <w:rsid w:val="00BD7CF0"/>
    <w:rsid w:val="00BE39C4"/>
    <w:rsid w:val="00BF319F"/>
    <w:rsid w:val="00C0343D"/>
    <w:rsid w:val="00C157EB"/>
    <w:rsid w:val="00C206BA"/>
    <w:rsid w:val="00C302A6"/>
    <w:rsid w:val="00C54183"/>
    <w:rsid w:val="00C77643"/>
    <w:rsid w:val="00C87B50"/>
    <w:rsid w:val="00CC3D1E"/>
    <w:rsid w:val="00D039F2"/>
    <w:rsid w:val="00D03E5A"/>
    <w:rsid w:val="00D10C55"/>
    <w:rsid w:val="00D12714"/>
    <w:rsid w:val="00D216FE"/>
    <w:rsid w:val="00D26834"/>
    <w:rsid w:val="00D30DD5"/>
    <w:rsid w:val="00D40512"/>
    <w:rsid w:val="00D43969"/>
    <w:rsid w:val="00D61F35"/>
    <w:rsid w:val="00D64391"/>
    <w:rsid w:val="00D71DFB"/>
    <w:rsid w:val="00D71ED4"/>
    <w:rsid w:val="00D746CB"/>
    <w:rsid w:val="00D85D06"/>
    <w:rsid w:val="00D873E3"/>
    <w:rsid w:val="00DB5CAF"/>
    <w:rsid w:val="00DD56EC"/>
    <w:rsid w:val="00DE3DCF"/>
    <w:rsid w:val="00E22F9F"/>
    <w:rsid w:val="00E4554C"/>
    <w:rsid w:val="00E508DB"/>
    <w:rsid w:val="00E541CD"/>
    <w:rsid w:val="00E557EF"/>
    <w:rsid w:val="00E55B87"/>
    <w:rsid w:val="00EA037C"/>
    <w:rsid w:val="00EC0E39"/>
    <w:rsid w:val="00EC70E9"/>
    <w:rsid w:val="00ED1821"/>
    <w:rsid w:val="00ED42C0"/>
    <w:rsid w:val="00F02F79"/>
    <w:rsid w:val="00F10C7C"/>
    <w:rsid w:val="00F20E60"/>
    <w:rsid w:val="00F72F95"/>
    <w:rsid w:val="00F90DCE"/>
    <w:rsid w:val="00FA4B88"/>
    <w:rsid w:val="00FC731D"/>
    <w:rsid w:val="00FD276D"/>
    <w:rsid w:val="00FE4FC2"/>
    <w:rsid w:val="00FE6553"/>
    <w:rsid w:val="019452B7"/>
    <w:rsid w:val="03570C80"/>
    <w:rsid w:val="040D264D"/>
    <w:rsid w:val="044C2096"/>
    <w:rsid w:val="04E75D87"/>
    <w:rsid w:val="0B307E77"/>
    <w:rsid w:val="0D4D2427"/>
    <w:rsid w:val="0D8F1716"/>
    <w:rsid w:val="104E0B39"/>
    <w:rsid w:val="132500A4"/>
    <w:rsid w:val="13752A27"/>
    <w:rsid w:val="15F526A7"/>
    <w:rsid w:val="168F79E4"/>
    <w:rsid w:val="177C27C1"/>
    <w:rsid w:val="1B28094D"/>
    <w:rsid w:val="1BE7757A"/>
    <w:rsid w:val="1FAB48BB"/>
    <w:rsid w:val="211B31BE"/>
    <w:rsid w:val="233673EF"/>
    <w:rsid w:val="29BD276C"/>
    <w:rsid w:val="2B0B4105"/>
    <w:rsid w:val="2DE60730"/>
    <w:rsid w:val="2E301C88"/>
    <w:rsid w:val="2E7343AE"/>
    <w:rsid w:val="301A4762"/>
    <w:rsid w:val="32DC238B"/>
    <w:rsid w:val="34524D2B"/>
    <w:rsid w:val="3A30675E"/>
    <w:rsid w:val="3ABD31FA"/>
    <w:rsid w:val="3E974195"/>
    <w:rsid w:val="3EAD5FEC"/>
    <w:rsid w:val="3F267478"/>
    <w:rsid w:val="406E67F1"/>
    <w:rsid w:val="421D1137"/>
    <w:rsid w:val="448B1CA5"/>
    <w:rsid w:val="451B0817"/>
    <w:rsid w:val="46D26FB7"/>
    <w:rsid w:val="4AB65652"/>
    <w:rsid w:val="4C772704"/>
    <w:rsid w:val="4D39790A"/>
    <w:rsid w:val="4E8E7756"/>
    <w:rsid w:val="4FC15E6E"/>
    <w:rsid w:val="4FD318BE"/>
    <w:rsid w:val="50250C31"/>
    <w:rsid w:val="52154BBE"/>
    <w:rsid w:val="542559AB"/>
    <w:rsid w:val="542A0388"/>
    <w:rsid w:val="54841EDB"/>
    <w:rsid w:val="593C186A"/>
    <w:rsid w:val="5B9479DB"/>
    <w:rsid w:val="5E73302D"/>
    <w:rsid w:val="5F3D449D"/>
    <w:rsid w:val="63464DED"/>
    <w:rsid w:val="653809D0"/>
    <w:rsid w:val="66034A8F"/>
    <w:rsid w:val="66295929"/>
    <w:rsid w:val="68994C26"/>
    <w:rsid w:val="6B146BDD"/>
    <w:rsid w:val="6F984983"/>
    <w:rsid w:val="702E5555"/>
    <w:rsid w:val="731A2F76"/>
    <w:rsid w:val="74D14500"/>
    <w:rsid w:val="76FC2821"/>
    <w:rsid w:val="7C291E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rPr>
      <w:rFonts w:ascii="Calibri" w:hAnsi="Calibri" w:eastAsia="宋体" w:cs="Times New Roman"/>
      <w:szCs w:val="22"/>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Default"/>
    <w:qFormat/>
    <w:uiPriority w:val="0"/>
    <w:pPr>
      <w:widowControl w:val="0"/>
      <w:autoSpaceDE w:val="0"/>
      <w:autoSpaceDN w:val="0"/>
      <w:adjustRightInd w:val="0"/>
    </w:pPr>
    <w:rPr>
      <w:rFonts w:ascii="楷体_GB2312" w:hAnsi="Calibri" w:eastAsia="楷体_GB2312" w:cs="楷体_GB2312"/>
      <w:color w:val="000000"/>
      <w:sz w:val="24"/>
      <w:szCs w:val="24"/>
      <w:lang w:val="en-US" w:eastAsia="zh-CN" w:bidi="ar-SA"/>
    </w:rPr>
  </w:style>
  <w:style w:type="paragraph" w:customStyle="1" w:styleId="10">
    <w:name w:val="内容"/>
    <w:basedOn w:val="1"/>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www.ftpdown.com</Company>
  <Pages>4</Pages>
  <Words>250</Words>
  <Characters>1427</Characters>
  <Lines>11</Lines>
  <Paragraphs>3</Paragraphs>
  <TotalTime>3</TotalTime>
  <ScaleCrop>false</ScaleCrop>
  <LinksUpToDate>false</LinksUpToDate>
  <CharactersWithSpaces>1674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2020-04-01T01:55:00Z</dcterms:created>
  <dc:creator>FtpDown</dc:creator>
  <cp:lastModifiedBy>陈永仁</cp:lastModifiedBy>
  <cp:lastPrinted>2021-03-10T01:03:00Z</cp:lastPrinted>
  <dcterms:modified xsi:type="dcterms:W3CDTF">2021-04-02T07:10:44Z</dcterms:modified>
  <dc:title>国有工商行政管理总局行政处罚公告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