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30"/>
          <w:kern w:val="2"/>
          <w:sz w:val="21"/>
          <w:szCs w:val="21"/>
          <w:fitText w:val="5742" w:id="0"/>
        </w:rPr>
        <w:t>国家市场监督管理总</w:t>
      </w:r>
      <w:r>
        <w:rPr>
          <w:rFonts w:hint="eastAsia" w:ascii="微软雅黑" w:hAnsi="微软雅黑" w:eastAsia="微软雅黑" w:cs="微软雅黑"/>
          <w:bCs/>
          <w:color w:val="000000"/>
          <w:spacing w:val="1"/>
          <w:kern w:val="2"/>
          <w:sz w:val="21"/>
          <w:szCs w:val="21"/>
          <w:fitText w:val="5742" w:id="0"/>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175"/>
          <w:kern w:val="2"/>
          <w:sz w:val="21"/>
          <w:szCs w:val="21"/>
          <w:fitText w:val="5742" w:id="1"/>
        </w:rPr>
        <w:t>行政处罚决定</w:t>
      </w:r>
      <w:r>
        <w:rPr>
          <w:rFonts w:hint="eastAsia" w:ascii="微软雅黑" w:hAnsi="微软雅黑" w:eastAsia="微软雅黑" w:cs="微软雅黑"/>
          <w:bCs/>
          <w:color w:val="000000"/>
          <w:spacing w:val="1"/>
          <w:kern w:val="2"/>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20</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lang w:val="en-GB"/>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kern w:val="2"/>
          <w:sz w:val="21"/>
          <w:szCs w:val="21"/>
          <w:lang w:val="en-GB"/>
        </w:rPr>
        <w:t>上海东方报业有限公司</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住  所：上海市静安区江场三路238号1515室</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kern w:val="2"/>
          <w:sz w:val="21"/>
          <w:szCs w:val="21"/>
          <w:lang w:val="en-GB"/>
        </w:rPr>
        <w:t>北京量子跃动科技有限公司</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住  所：北京市海淀区紫金数码园4号楼15层1503</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根据《反垄断法》，本机关于</w:t>
      </w:r>
      <w:r>
        <w:rPr>
          <w:rFonts w:hint="eastAsia" w:ascii="微软雅黑" w:hAnsi="微软雅黑" w:eastAsia="微软雅黑" w:cs="微软雅黑"/>
          <w:kern w:val="2"/>
          <w:sz w:val="21"/>
          <w:szCs w:val="21"/>
        </w:rPr>
        <w:t>20</w:t>
      </w:r>
      <w:r>
        <w:rPr>
          <w:rFonts w:hint="eastAsia" w:ascii="微软雅黑" w:hAnsi="微软雅黑" w:eastAsia="微软雅黑" w:cs="微软雅黑"/>
          <w:kern w:val="2"/>
          <w:sz w:val="21"/>
          <w:szCs w:val="21"/>
          <w:lang w:val="en-US" w:eastAsia="zh-CN"/>
        </w:rPr>
        <w:t>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年</w:t>
      </w:r>
      <w:r>
        <w:rPr>
          <w:rFonts w:hint="eastAsia" w:ascii="微软雅黑" w:hAnsi="微软雅黑" w:eastAsia="微软雅黑" w:cs="微软雅黑"/>
          <w:sz w:val="21"/>
          <w:szCs w:val="21"/>
          <w:lang w:val="en-US" w:eastAsia="zh-CN"/>
        </w:rPr>
        <w:t>1月</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lang w:val="en-US" w:eastAsia="zh-CN"/>
        </w:rPr>
        <w:t>日</w:t>
      </w:r>
      <w:r>
        <w:rPr>
          <w:rFonts w:hint="eastAsia" w:ascii="微软雅黑" w:hAnsi="微软雅黑" w:eastAsia="微软雅黑" w:cs="微软雅黑"/>
          <w:kern w:val="2"/>
          <w:sz w:val="21"/>
          <w:szCs w:val="21"/>
          <w:lang w:eastAsia="zh-CN"/>
        </w:rPr>
        <w:t>对</w:t>
      </w:r>
      <w:r>
        <w:rPr>
          <w:rFonts w:hint="eastAsia" w:ascii="微软雅黑" w:hAnsi="微软雅黑" w:eastAsia="微软雅黑" w:cs="微软雅黑"/>
          <w:sz w:val="21"/>
          <w:szCs w:val="21"/>
          <w:lang w:val="en-GB"/>
        </w:rPr>
        <w:t>上海东方报业有限公司</w:t>
      </w:r>
      <w:r>
        <w:rPr>
          <w:rFonts w:hint="eastAsia" w:ascii="微软雅黑" w:hAnsi="微软雅黑" w:eastAsia="微软雅黑" w:cs="微软雅黑"/>
          <w:sz w:val="21"/>
          <w:szCs w:val="21"/>
          <w:lang w:val="en-GB" w:eastAsia="zh-CN"/>
        </w:rPr>
        <w:t>（以下简称东方报业）</w:t>
      </w:r>
      <w:r>
        <w:rPr>
          <w:rFonts w:hint="eastAsia" w:ascii="微软雅黑" w:hAnsi="微软雅黑" w:eastAsia="微软雅黑" w:cs="微软雅黑"/>
          <w:sz w:val="21"/>
          <w:szCs w:val="21"/>
          <w:lang w:val="en-GB" w:eastAsia="zh-CN"/>
        </w:rPr>
        <w:t>与</w:t>
      </w:r>
      <w:r>
        <w:rPr>
          <w:rFonts w:hint="eastAsia" w:ascii="微软雅黑" w:hAnsi="微软雅黑" w:eastAsia="微软雅黑" w:cs="微软雅黑"/>
          <w:sz w:val="21"/>
          <w:szCs w:val="21"/>
          <w:lang w:val="en-GB"/>
        </w:rPr>
        <w:t>北京量子跃动科技有限公司</w:t>
      </w:r>
      <w:r>
        <w:rPr>
          <w:rFonts w:hint="eastAsia" w:ascii="微软雅黑" w:hAnsi="微软雅黑" w:eastAsia="微软雅黑" w:cs="微软雅黑"/>
          <w:sz w:val="21"/>
          <w:szCs w:val="21"/>
          <w:lang w:val="en-GB" w:eastAsia="zh-CN"/>
        </w:rPr>
        <w:t>（以下简称量子跃动）</w:t>
      </w:r>
      <w:r>
        <w:rPr>
          <w:rFonts w:hint="eastAsia" w:ascii="微软雅黑" w:hAnsi="微软雅黑" w:eastAsia="微软雅黑" w:cs="微软雅黑"/>
          <w:sz w:val="21"/>
          <w:szCs w:val="21"/>
          <w:lang w:val="en-GB"/>
        </w:rPr>
        <w:t>设立合营企业</w:t>
      </w:r>
      <w:r>
        <w:rPr>
          <w:rFonts w:hint="eastAsia" w:ascii="微软雅黑" w:hAnsi="微软雅黑" w:eastAsia="微软雅黑" w:cs="微软雅黑"/>
          <w:sz w:val="21"/>
          <w:szCs w:val="21"/>
          <w:lang w:val="en-GB" w:eastAsia="zh-CN"/>
        </w:rPr>
        <w:t>澎湃视听科技（济南）有限公司</w:t>
      </w:r>
      <w:r>
        <w:rPr>
          <w:rFonts w:hint="eastAsia" w:ascii="微软雅黑" w:hAnsi="微软雅黑" w:eastAsia="微软雅黑" w:cs="微软雅黑"/>
          <w:sz w:val="21"/>
          <w:szCs w:val="21"/>
          <w:lang w:val="en-GB" w:eastAsia="zh-CN"/>
        </w:rPr>
        <w:t>（以下简称澎湃视听）</w:t>
      </w:r>
      <w:r>
        <w:rPr>
          <w:rFonts w:hint="eastAsia" w:ascii="微软雅黑" w:hAnsi="微软雅黑" w:eastAsia="微软雅黑" w:cs="微软雅黑"/>
          <w:bCs/>
          <w:sz w:val="21"/>
          <w:szCs w:val="21"/>
          <w:lang w:eastAsia="zh-CN"/>
        </w:rPr>
        <w:t>涉嫌违法实施经营者集中案</w:t>
      </w:r>
      <w:r>
        <w:rPr>
          <w:rFonts w:hint="eastAsia" w:ascii="微软雅黑" w:hAnsi="微软雅黑" w:eastAsia="微软雅黑" w:cs="微软雅黑"/>
          <w:kern w:val="2"/>
          <w:sz w:val="21"/>
          <w:szCs w:val="21"/>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经查，该案构成未依法申报违法实施的经营者集中，但不具有排除、限制竞争的效果。本机关按照《行政处罚法》的规定，向</w:t>
      </w:r>
      <w:r>
        <w:rPr>
          <w:rFonts w:hint="eastAsia" w:ascii="微软雅黑" w:hAnsi="微软雅黑" w:eastAsia="微软雅黑" w:cs="微软雅黑"/>
          <w:sz w:val="21"/>
          <w:szCs w:val="21"/>
          <w:lang w:val="en-GB" w:eastAsia="zh-CN"/>
        </w:rPr>
        <w:t>东方报业和量子跃动</w:t>
      </w:r>
      <w:r>
        <w:rPr>
          <w:rFonts w:hint="eastAsia" w:ascii="微软雅黑" w:hAnsi="微软雅黑" w:eastAsia="微软雅黑" w:cs="微软雅黑"/>
          <w:kern w:val="2"/>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sz w:val="21"/>
          <w:szCs w:val="21"/>
          <w:lang w:val="en-GB" w:eastAsia="zh-CN"/>
        </w:rPr>
        <w:t>东方报业和量子跃动</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sz w:val="21"/>
          <w:szCs w:val="21"/>
        </w:rPr>
      </w:pPr>
      <w:r>
        <w:rPr>
          <w:rFonts w:hint="eastAsia" w:ascii="微软雅黑" w:hAnsi="微软雅黑" w:eastAsia="微软雅黑" w:cs="微软雅黑"/>
          <w:bCs/>
          <w:sz w:val="21"/>
          <w:szCs w:val="21"/>
          <w:lang w:eastAsia="zh-CN"/>
        </w:rPr>
        <w:t>一、</w:t>
      </w:r>
      <w:r>
        <w:rPr>
          <w:rFonts w:hint="eastAsia" w:ascii="微软雅黑" w:hAnsi="微软雅黑" w:eastAsia="微软雅黑" w:cs="微软雅黑"/>
          <w:bCs/>
          <w:sz w:val="21"/>
          <w:szCs w:val="21"/>
        </w:rPr>
        <w:t>基本情况</w:t>
      </w:r>
    </w:p>
    <w:p>
      <w:pPr>
        <w:keepNext w:val="0"/>
        <w:keepLines w:val="0"/>
        <w:pageBreakBefore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（一）交易方。</w:t>
      </w:r>
    </w:p>
    <w:p>
      <w:pPr>
        <w:keepNext w:val="0"/>
        <w:keepLines w:val="0"/>
        <w:pageBreakBefore w:val="0"/>
        <w:widowControl w:val="0"/>
        <w:kinsoku/>
        <w:wordWrap/>
        <w:topLinePunct w:val="0"/>
        <w:bidi w:val="0"/>
        <w:snapToGrid/>
        <w:spacing w:line="594" w:lineRule="exact"/>
        <w:ind w:firstLine="408"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b/>
          <w:bCs w:val="0"/>
          <w:sz w:val="21"/>
          <w:szCs w:val="21"/>
          <w:lang w:val="en-US" w:eastAsia="zh-CN"/>
        </w:rPr>
        <w:t>合营方一：</w:t>
      </w:r>
      <w:r>
        <w:rPr>
          <w:rFonts w:hint="eastAsia" w:ascii="微软雅黑" w:hAnsi="微软雅黑" w:eastAsia="微软雅黑" w:cs="微软雅黑"/>
          <w:b/>
          <w:bCs w:val="0"/>
          <w:sz w:val="21"/>
          <w:szCs w:val="21"/>
          <w:lang w:val="en-GB" w:eastAsia="zh-CN"/>
        </w:rPr>
        <w:t>东方报业</w:t>
      </w:r>
      <w:r>
        <w:rPr>
          <w:rFonts w:hint="eastAsia" w:ascii="微软雅黑" w:hAnsi="微软雅黑" w:eastAsia="微软雅黑" w:cs="微软雅黑"/>
          <w:b/>
          <w:bCs w:val="0"/>
          <w:sz w:val="21"/>
          <w:szCs w:val="21"/>
          <w:lang w:val="en-US" w:eastAsia="zh-CN"/>
        </w:rPr>
        <w:t>。</w:t>
      </w:r>
      <w:r>
        <w:rPr>
          <w:rFonts w:hint="eastAsia" w:ascii="微软雅黑" w:hAnsi="微软雅黑" w:eastAsia="微软雅黑" w:cs="微软雅黑"/>
          <w:kern w:val="2"/>
          <w:sz w:val="21"/>
          <w:szCs w:val="21"/>
          <w:highlight w:val="none"/>
          <w:lang w:val="en-US" w:eastAsia="zh-CN" w:bidi="ar-SA"/>
        </w:rPr>
        <w:t>2012年6月在上海注册成立，主要业务包括互联网新闻、网站开发、发布各类广告等，最终控制人是上海报业集团有限公司。东方报业2018年全球和中国境内营业额均为</w:t>
      </w:r>
      <w:r>
        <w:rPr>
          <w:rFonts w:hint="eastAsia" w:ascii="微软雅黑" w:hAnsi="微软雅黑" w:eastAsia="微软雅黑" w:cs="微软雅黑"/>
          <w:kern w:val="2"/>
          <w:sz w:val="21"/>
          <w:szCs w:val="21"/>
          <w:highlight w:val="none"/>
          <w:lang w:val="en-US" w:eastAsia="zh-CN" w:bidi="ar-SA"/>
        </w:rPr>
        <w:t>（略）</w:t>
      </w:r>
      <w:r>
        <w:rPr>
          <w:rFonts w:hint="eastAsia" w:ascii="微软雅黑" w:hAnsi="微软雅黑" w:eastAsia="微软雅黑" w:cs="微软雅黑"/>
          <w:kern w:val="2"/>
          <w:sz w:val="21"/>
          <w:szCs w:val="21"/>
          <w:highlight w:val="none"/>
          <w:lang w:val="en-US" w:eastAsia="zh-CN" w:bidi="ar-SA"/>
        </w:rPr>
        <w:t>人民币（币种下同）。</w:t>
      </w:r>
    </w:p>
    <w:p>
      <w:pPr>
        <w:keepNext w:val="0"/>
        <w:keepLines w:val="0"/>
        <w:pageBreakBefore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bCs/>
          <w:sz w:val="21"/>
          <w:szCs w:val="21"/>
          <w:highlight w:val="none"/>
          <w:lang w:val="en-US" w:eastAsia="zh-CN"/>
        </w:rPr>
        <w:t>合营方二：</w:t>
      </w:r>
      <w:r>
        <w:rPr>
          <w:rFonts w:hint="eastAsia" w:ascii="微软雅黑" w:hAnsi="微软雅黑" w:eastAsia="微软雅黑" w:cs="微软雅黑"/>
          <w:b/>
          <w:bCs/>
          <w:sz w:val="21"/>
          <w:szCs w:val="21"/>
          <w:lang w:val="en-GB" w:eastAsia="zh-CN"/>
        </w:rPr>
        <w:t>量子跃动</w:t>
      </w:r>
      <w:r>
        <w:rPr>
          <w:rFonts w:hint="eastAsia" w:ascii="微软雅黑" w:hAnsi="微软雅黑" w:eastAsia="微软雅黑" w:cs="微软雅黑"/>
          <w:b/>
          <w:bCs/>
          <w:sz w:val="21"/>
          <w:szCs w:val="21"/>
          <w:highlight w:val="none"/>
          <w:lang w:val="en-US" w:eastAsia="zh-CN"/>
        </w:rPr>
        <w:t>。</w:t>
      </w:r>
      <w:r>
        <w:rPr>
          <w:rFonts w:hint="eastAsia" w:ascii="微软雅黑" w:hAnsi="微软雅黑" w:eastAsia="微软雅黑" w:cs="微软雅黑"/>
          <w:sz w:val="21"/>
          <w:szCs w:val="21"/>
          <w:highlight w:val="none"/>
          <w:lang w:val="en-US" w:eastAsia="zh-CN"/>
        </w:rPr>
        <w:t>2018年6月在北京注册成立，主要业务包括经营技术开发、互联网文化活动和软件服务与咨询等，最终控制人是字节跳动有限公司</w:t>
      </w:r>
      <w:r>
        <w:rPr>
          <w:rFonts w:hint="eastAsia" w:ascii="微软雅黑" w:hAnsi="微软雅黑" w:eastAsia="微软雅黑" w:cs="微软雅黑"/>
          <w:kern w:val="2"/>
          <w:sz w:val="21"/>
          <w:szCs w:val="21"/>
          <w:highlight w:val="none"/>
          <w:lang w:val="en-US" w:eastAsia="zh-CN" w:bidi="ar-SA"/>
        </w:rPr>
        <w:t>。量子跃动</w:t>
      </w:r>
      <w:r>
        <w:rPr>
          <w:rFonts w:hint="eastAsia" w:ascii="微软雅黑" w:hAnsi="微软雅黑" w:eastAsia="微软雅黑" w:cs="微软雅黑"/>
          <w:sz w:val="21"/>
          <w:szCs w:val="21"/>
          <w:highlight w:val="none"/>
          <w:lang w:val="en-US" w:eastAsia="zh-CN"/>
        </w:rPr>
        <w:t>2018年全球营业额</w:t>
      </w:r>
      <w:r>
        <w:rPr>
          <w:rFonts w:hint="eastAsia" w:ascii="微软雅黑" w:hAnsi="微软雅黑" w:eastAsia="微软雅黑" w:cs="微软雅黑"/>
          <w:kern w:val="2"/>
          <w:sz w:val="21"/>
          <w:szCs w:val="21"/>
          <w:highlight w:val="none"/>
          <w:lang w:val="en-US" w:eastAsia="zh-CN" w:bidi="ar-SA"/>
        </w:rPr>
        <w:t>（略）</w:t>
      </w:r>
      <w:r>
        <w:rPr>
          <w:rFonts w:hint="eastAsia" w:ascii="微软雅黑" w:hAnsi="微软雅黑" w:eastAsia="微软雅黑" w:cs="微软雅黑"/>
          <w:sz w:val="21"/>
          <w:szCs w:val="21"/>
          <w:highlight w:val="none"/>
          <w:lang w:val="en-US" w:eastAsia="zh-CN"/>
        </w:rPr>
        <w:t>，中国境内营业额</w:t>
      </w:r>
      <w:r>
        <w:rPr>
          <w:rFonts w:hint="eastAsia" w:ascii="微软雅黑" w:hAnsi="微软雅黑" w:eastAsia="微软雅黑" w:cs="微软雅黑"/>
          <w:kern w:val="2"/>
          <w:sz w:val="21"/>
          <w:szCs w:val="21"/>
          <w:highlight w:val="none"/>
          <w:lang w:val="en-US" w:eastAsia="zh-CN" w:bidi="ar-SA"/>
        </w:rPr>
        <w:t>（略）</w:t>
      </w:r>
      <w:r>
        <w:rPr>
          <w:rFonts w:hint="eastAsia" w:ascii="微软雅黑" w:hAnsi="微软雅黑" w:eastAsia="微软雅黑" w:cs="微软雅黑"/>
          <w:sz w:val="21"/>
          <w:szCs w:val="21"/>
          <w:highlight w:val="none"/>
          <w:lang w:val="en-US" w:eastAsia="zh-CN"/>
        </w:rPr>
        <w:t>。</w:t>
      </w:r>
    </w:p>
    <w:p>
      <w:pPr>
        <w:keepNext w:val="0"/>
        <w:keepLines w:val="0"/>
        <w:pageBreakBefore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（二）交易概况。</w:t>
      </w:r>
    </w:p>
    <w:p>
      <w:pPr>
        <w:keepNext w:val="0"/>
        <w:keepLines w:val="0"/>
        <w:pageBreakBefore w:val="0"/>
        <w:widowControl w:val="0"/>
        <w:kinsoku/>
        <w:wordWrap/>
        <w:topLinePunct w:val="0"/>
        <w:bidi w:val="0"/>
        <w:snapToGrid/>
        <w:spacing w:line="594" w:lineRule="exact"/>
        <w:ind w:firstLine="408"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本交易系设立合营企业。2019年9月，东方报业和量子跃动签署《合资协议》设立</w:t>
      </w:r>
      <w:r>
        <w:rPr>
          <w:rFonts w:hint="eastAsia" w:ascii="微软雅黑" w:hAnsi="微软雅黑" w:eastAsia="微软雅黑" w:cs="微软雅黑"/>
          <w:sz w:val="21"/>
          <w:szCs w:val="21"/>
          <w:lang w:val="en-GB" w:eastAsia="zh-CN"/>
        </w:rPr>
        <w:t>澎湃视听</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highlight w:val="none"/>
          <w:lang w:val="en-US" w:eastAsia="zh-CN" w:bidi="ar-SA"/>
        </w:rPr>
        <w:t>东方报业出资</w:t>
      </w:r>
      <w:r>
        <w:rPr>
          <w:rFonts w:hint="eastAsia" w:ascii="微软雅黑" w:hAnsi="微软雅黑" w:eastAsia="微软雅黑" w:cs="微软雅黑"/>
          <w:kern w:val="2"/>
          <w:sz w:val="21"/>
          <w:szCs w:val="21"/>
          <w:highlight w:val="none"/>
          <w:lang w:val="en-US" w:eastAsia="zh-CN" w:bidi="ar-SA"/>
        </w:rPr>
        <w:t>（略）</w:t>
      </w:r>
      <w:r>
        <w:rPr>
          <w:rFonts w:hint="eastAsia" w:ascii="微软雅黑" w:hAnsi="微软雅黑" w:eastAsia="微软雅黑" w:cs="微软雅黑"/>
          <w:kern w:val="2"/>
          <w:sz w:val="21"/>
          <w:szCs w:val="21"/>
          <w:highlight w:val="none"/>
          <w:lang w:val="en-US" w:eastAsia="zh-CN" w:bidi="ar-SA"/>
        </w:rPr>
        <w:t>，持有合营企业51%的股权，量子跃动出资</w:t>
      </w:r>
      <w:r>
        <w:rPr>
          <w:rFonts w:hint="eastAsia" w:ascii="微软雅黑" w:hAnsi="微软雅黑" w:eastAsia="微软雅黑" w:cs="微软雅黑"/>
          <w:kern w:val="2"/>
          <w:sz w:val="21"/>
          <w:szCs w:val="21"/>
          <w:highlight w:val="none"/>
          <w:lang w:val="en-US" w:eastAsia="zh-CN" w:bidi="ar-SA"/>
        </w:rPr>
        <w:t>（略）</w:t>
      </w:r>
      <w:r>
        <w:rPr>
          <w:rFonts w:hint="eastAsia" w:ascii="微软雅黑" w:hAnsi="微软雅黑" w:eastAsia="微软雅黑" w:cs="微软雅黑"/>
          <w:kern w:val="2"/>
          <w:sz w:val="21"/>
          <w:szCs w:val="21"/>
          <w:highlight w:val="none"/>
          <w:lang w:val="en-US" w:eastAsia="zh-CN" w:bidi="ar-SA"/>
        </w:rPr>
        <w:t>，持有合营企业49%的股权。2019年12月10日，合营企业取得营业执照。</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kinsoku/>
        <w:wordWrap/>
        <w:topLinePunct w:val="0"/>
        <w:bidi w:val="0"/>
        <w:snapToGrid/>
        <w:spacing w:line="594" w:lineRule="exact"/>
        <w:ind w:firstLine="408" w:firstLineChars="200"/>
        <w:textAlignment w:val="auto"/>
        <w:outlineLvl w:val="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（一）本案构成未依法申报</w:t>
      </w:r>
      <w:r>
        <w:rPr>
          <w:rFonts w:hint="eastAsia" w:ascii="微软雅黑" w:hAnsi="微软雅黑" w:eastAsia="微软雅黑" w:cs="微软雅黑"/>
          <w:b/>
          <w:bCs/>
          <w:sz w:val="21"/>
          <w:szCs w:val="21"/>
          <w:lang w:eastAsia="zh-CN"/>
        </w:rPr>
        <w:t>违法</w:t>
      </w:r>
      <w:r>
        <w:rPr>
          <w:rFonts w:hint="eastAsia" w:ascii="微软雅黑" w:hAnsi="微软雅黑" w:eastAsia="微软雅黑" w:cs="微软雅黑"/>
          <w:b/>
          <w:bCs/>
          <w:sz w:val="21"/>
          <w:szCs w:val="21"/>
        </w:rPr>
        <w:t>实施的经营者集中。</w:t>
      </w:r>
    </w:p>
    <w:p>
      <w:pPr>
        <w:keepNext w:val="0"/>
        <w:keepLines w:val="0"/>
        <w:pageBreakBefore w:val="0"/>
        <w:widowControl w:val="0"/>
        <w:kinsoku/>
        <w:wordWrap/>
        <w:topLinePunct w:val="0"/>
        <w:bidi w:val="0"/>
        <w:snapToGrid/>
        <w:spacing w:line="594" w:lineRule="exact"/>
        <w:ind w:firstLine="408"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rPr>
        <w:t>根据《反垄断法》第二十条规定</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w:t>
      </w:r>
      <w:r>
        <w:rPr>
          <w:rFonts w:hint="eastAsia" w:ascii="微软雅黑" w:hAnsi="微软雅黑" w:eastAsia="微软雅黑" w:cs="微软雅黑"/>
          <w:kern w:val="2"/>
          <w:sz w:val="21"/>
          <w:szCs w:val="21"/>
          <w:highlight w:val="none"/>
          <w:lang w:val="en-US" w:eastAsia="zh-CN" w:bidi="ar-SA"/>
        </w:rPr>
        <w:t>该交易系设立合营企业，东方报业持有合营企业51%的股权，量子跃动持有合营企业49%的股权，双方共同控制合营企业，属于《反垄断法》第二十条规定的经营者集中。</w:t>
      </w:r>
    </w:p>
    <w:p>
      <w:pPr>
        <w:pStyle w:val="10"/>
        <w:keepNext w:val="0"/>
        <w:keepLines w:val="0"/>
        <w:pageBreakBefore w:val="0"/>
        <w:kinsoku/>
        <w:wordWrap/>
        <w:topLinePunct w:val="0"/>
        <w:bidi w:val="0"/>
        <w:snapToGrid/>
        <w:spacing w:line="594" w:lineRule="exact"/>
        <w:ind w:left="0" w:firstLine="643"/>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东方报业2018</w:t>
      </w:r>
      <w:r>
        <w:rPr>
          <w:rFonts w:hint="eastAsia" w:ascii="微软雅黑" w:hAnsi="微软雅黑" w:eastAsia="微软雅黑" w:cs="微软雅黑"/>
          <w:kern w:val="2"/>
          <w:sz w:val="21"/>
          <w:szCs w:val="21"/>
          <w:highlight w:val="none"/>
          <w:lang w:val="en-US" w:eastAsia="zh-CN" w:bidi="ar-SA"/>
        </w:rPr>
        <w:t>年</w:t>
      </w:r>
      <w:r>
        <w:rPr>
          <w:rFonts w:hint="eastAsia" w:ascii="微软雅黑" w:hAnsi="微软雅黑" w:eastAsia="微软雅黑" w:cs="微软雅黑"/>
          <w:kern w:val="2"/>
          <w:sz w:val="21"/>
          <w:szCs w:val="21"/>
          <w:highlight w:val="none"/>
          <w:lang w:val="en-US" w:eastAsia="zh-CN" w:bidi="ar-SA"/>
        </w:rPr>
        <w:t>全球和中国境内营业额均为</w:t>
      </w:r>
      <w:r>
        <w:rPr>
          <w:rFonts w:hint="eastAsia" w:ascii="微软雅黑" w:hAnsi="微软雅黑" w:eastAsia="微软雅黑" w:cs="微软雅黑"/>
          <w:kern w:val="2"/>
          <w:sz w:val="21"/>
          <w:szCs w:val="21"/>
          <w:highlight w:val="none"/>
          <w:lang w:val="en-US" w:eastAsia="zh-CN" w:bidi="ar-SA"/>
        </w:rPr>
        <w:t>（略）</w:t>
      </w:r>
      <w:r>
        <w:rPr>
          <w:rFonts w:hint="eastAsia" w:ascii="微软雅黑" w:hAnsi="微软雅黑" w:eastAsia="微软雅黑" w:cs="微软雅黑"/>
          <w:kern w:val="2"/>
          <w:sz w:val="21"/>
          <w:szCs w:val="21"/>
          <w:highlight w:val="none"/>
          <w:lang w:val="en-US" w:eastAsia="zh-CN" w:bidi="ar-SA"/>
        </w:rPr>
        <w:t>，量子跃动2018年全球营业额</w:t>
      </w:r>
      <w:r>
        <w:rPr>
          <w:rFonts w:hint="eastAsia" w:ascii="微软雅黑" w:hAnsi="微软雅黑" w:eastAsia="微软雅黑" w:cs="微软雅黑"/>
          <w:kern w:val="2"/>
          <w:sz w:val="21"/>
          <w:szCs w:val="21"/>
          <w:highlight w:val="none"/>
          <w:lang w:val="en-US" w:eastAsia="zh-CN" w:bidi="ar-SA"/>
        </w:rPr>
        <w:t>（略）</w:t>
      </w:r>
      <w:r>
        <w:rPr>
          <w:rFonts w:hint="eastAsia" w:ascii="微软雅黑" w:hAnsi="微软雅黑" w:eastAsia="微软雅黑" w:cs="微软雅黑"/>
          <w:kern w:val="2"/>
          <w:sz w:val="21"/>
          <w:szCs w:val="21"/>
          <w:highlight w:val="none"/>
          <w:lang w:val="en-US" w:eastAsia="zh-CN" w:bidi="ar-SA"/>
        </w:rPr>
        <w:t>，中国境内营业额</w:t>
      </w:r>
      <w:r>
        <w:rPr>
          <w:rFonts w:hint="eastAsia" w:ascii="微软雅黑" w:hAnsi="微软雅黑" w:eastAsia="微软雅黑" w:cs="微软雅黑"/>
          <w:kern w:val="2"/>
          <w:sz w:val="21"/>
          <w:szCs w:val="21"/>
          <w:highlight w:val="none"/>
          <w:lang w:val="en-US" w:eastAsia="zh-CN" w:bidi="ar-SA"/>
        </w:rPr>
        <w:t>（略）</w:t>
      </w:r>
      <w:r>
        <w:rPr>
          <w:rFonts w:hint="eastAsia" w:ascii="微软雅黑" w:hAnsi="微软雅黑" w:eastAsia="微软雅黑" w:cs="微软雅黑"/>
          <w:kern w:val="2"/>
          <w:sz w:val="21"/>
          <w:szCs w:val="21"/>
          <w:highlight w:val="none"/>
          <w:lang w:val="en-US" w:eastAsia="zh-CN" w:bidi="ar-SA"/>
        </w:rPr>
        <w:t>，达到《国务院关于经营者集中申报标准的规定》第三条规定的申报标准，属于应当申报的情形。</w:t>
      </w:r>
    </w:p>
    <w:p>
      <w:pPr>
        <w:keepNext w:val="0"/>
        <w:keepLines w:val="0"/>
        <w:pageBreakBefore w:val="0"/>
        <w:widowControl w:val="0"/>
        <w:kinsoku/>
        <w:wordWrap/>
        <w:topLinePunct w:val="0"/>
        <w:bidi w:val="0"/>
        <w:snapToGrid/>
        <w:spacing w:line="594" w:lineRule="exact"/>
        <w:ind w:firstLine="408"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rPr>
        <w:t>根据《反垄断法》第二十一条规定</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经营者集中达到国务院规定的申报标准的，经营者应当事先向国务院反垄断执法机构申报，未申报的不得实施集中</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w:t>
      </w:r>
      <w:r>
        <w:rPr>
          <w:rFonts w:hint="eastAsia" w:ascii="微软雅黑" w:hAnsi="微软雅黑" w:eastAsia="微软雅黑" w:cs="微软雅黑"/>
          <w:kern w:val="2"/>
          <w:sz w:val="21"/>
          <w:szCs w:val="21"/>
          <w:highlight w:val="none"/>
          <w:lang w:val="en-US" w:eastAsia="zh-CN" w:bidi="ar-SA"/>
        </w:rPr>
        <w:t>2019年12月10日，合营企业取</w:t>
      </w:r>
      <w:r>
        <w:rPr>
          <w:rFonts w:hint="eastAsia" w:ascii="微软雅黑" w:hAnsi="微软雅黑" w:eastAsia="微软雅黑" w:cs="微软雅黑"/>
          <w:sz w:val="21"/>
          <w:szCs w:val="21"/>
          <w:lang w:val="en-US" w:eastAsia="zh-CN"/>
        </w:rPr>
        <w:t>得营业执照，在此之前未向我局申报，违反《反垄断法》第二十一条，构成</w:t>
      </w:r>
      <w:r>
        <w:rPr>
          <w:rFonts w:hint="eastAsia" w:ascii="微软雅黑" w:hAnsi="微软雅黑" w:eastAsia="微软雅黑" w:cs="微软雅黑"/>
          <w:sz w:val="21"/>
          <w:szCs w:val="21"/>
        </w:rPr>
        <w:t>未依法申报</w:t>
      </w:r>
      <w:r>
        <w:rPr>
          <w:rFonts w:hint="eastAsia" w:ascii="微软雅黑" w:hAnsi="微软雅黑" w:eastAsia="微软雅黑" w:cs="微软雅黑"/>
          <w:sz w:val="21"/>
          <w:szCs w:val="21"/>
          <w:lang w:val="en-US" w:eastAsia="zh-CN"/>
        </w:rPr>
        <w:t>违</w:t>
      </w:r>
      <w:r>
        <w:rPr>
          <w:rFonts w:hint="eastAsia" w:ascii="微软雅黑" w:hAnsi="微软雅黑" w:eastAsia="微软雅黑" w:cs="微软雅黑"/>
          <w:kern w:val="2"/>
          <w:sz w:val="21"/>
          <w:szCs w:val="21"/>
          <w:highlight w:val="none"/>
          <w:lang w:val="en-US" w:eastAsia="zh-CN" w:bidi="ar-SA"/>
        </w:rPr>
        <w:t>法实施的经营者集中。</w:t>
      </w:r>
    </w:p>
    <w:p>
      <w:pPr>
        <w:keepNext w:val="0"/>
        <w:keepLines w:val="0"/>
        <w:pageBreakBefore w:val="0"/>
        <w:kinsoku/>
        <w:wordWrap/>
        <w:topLinePunct w:val="0"/>
        <w:bidi w:val="0"/>
        <w:snapToGrid/>
        <w:spacing w:line="594" w:lineRule="exact"/>
        <w:ind w:firstLine="408" w:firstLineChars="200"/>
        <w:textAlignment w:val="auto"/>
        <w:outlineLvl w:val="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（二）本案不具有排除、限制竞争的效果。</w:t>
      </w:r>
    </w:p>
    <w:p>
      <w:pPr>
        <w:keepNext w:val="0"/>
        <w:keepLines w:val="0"/>
        <w:pageBreakBefore w:val="0"/>
        <w:widowControl/>
        <w:kinsoku/>
        <w:wordWrap/>
        <w:topLinePunct w:val="0"/>
        <w:bidi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sz w:val="21"/>
          <w:szCs w:val="21"/>
          <w:lang w:val="en-GB" w:eastAsia="zh-CN"/>
        </w:rPr>
        <w:t>东方报业</w:t>
      </w:r>
      <w:r>
        <w:rPr>
          <w:rFonts w:hint="eastAsia" w:ascii="微软雅黑" w:hAnsi="微软雅黑" w:eastAsia="微软雅黑" w:cs="微软雅黑"/>
          <w:sz w:val="21"/>
          <w:szCs w:val="21"/>
          <w:lang w:val="en-GB" w:eastAsia="zh-CN"/>
        </w:rPr>
        <w:t>与</w:t>
      </w:r>
      <w:r>
        <w:rPr>
          <w:rFonts w:hint="eastAsia" w:ascii="微软雅黑" w:hAnsi="微软雅黑" w:eastAsia="微软雅黑" w:cs="微软雅黑"/>
          <w:sz w:val="21"/>
          <w:szCs w:val="21"/>
          <w:lang w:val="en-GB" w:eastAsia="zh-CN"/>
        </w:rPr>
        <w:t>量子跃动</w:t>
      </w:r>
      <w:r>
        <w:rPr>
          <w:rFonts w:hint="eastAsia" w:ascii="微软雅黑" w:hAnsi="微软雅黑" w:eastAsia="微软雅黑" w:cs="微软雅黑"/>
          <w:sz w:val="21"/>
          <w:szCs w:val="21"/>
          <w:lang w:val="en-GB"/>
        </w:rPr>
        <w:t>设立合营企业</w:t>
      </w:r>
      <w:r>
        <w:rPr>
          <w:rFonts w:hint="eastAsia" w:ascii="微软雅黑" w:hAnsi="微软雅黑" w:eastAsia="微软雅黑" w:cs="微软雅黑"/>
          <w:sz w:val="21"/>
          <w:szCs w:val="21"/>
          <w:lang w:val="en-GB" w:eastAsia="zh-CN"/>
        </w:rPr>
        <w:t>澎湃视听</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kern w:val="2"/>
          <w:sz w:val="21"/>
          <w:szCs w:val="21"/>
        </w:rPr>
        <w:t>基于上述调查情况和评估结论，本机关</w:t>
      </w:r>
      <w:r>
        <w:rPr>
          <w:rFonts w:hint="eastAsia" w:ascii="微软雅黑" w:hAnsi="微软雅黑" w:eastAsia="微软雅黑" w:cs="微软雅黑"/>
          <w:color w:val="auto"/>
          <w:kern w:val="2"/>
          <w:sz w:val="21"/>
          <w:szCs w:val="21"/>
          <w:lang w:eastAsia="zh-CN"/>
        </w:rPr>
        <w:t>决定</w:t>
      </w:r>
      <w:r>
        <w:rPr>
          <w:rFonts w:hint="eastAsia" w:ascii="微软雅黑" w:hAnsi="微软雅黑" w:eastAsia="微软雅黑" w:cs="微软雅黑"/>
          <w:kern w:val="2"/>
          <w:sz w:val="21"/>
          <w:szCs w:val="21"/>
          <w:lang w:eastAsia="zh-CN"/>
        </w:rPr>
        <w:t>分别</w:t>
      </w:r>
      <w:r>
        <w:rPr>
          <w:rFonts w:hint="eastAsia" w:ascii="微软雅黑" w:hAnsi="微软雅黑" w:eastAsia="微软雅黑" w:cs="微软雅黑"/>
          <w:bCs/>
          <w:color w:val="000000"/>
          <w:kern w:val="2"/>
          <w:sz w:val="21"/>
          <w:szCs w:val="21"/>
        </w:rPr>
        <w:t>给予</w:t>
      </w:r>
      <w:r>
        <w:rPr>
          <w:rFonts w:hint="eastAsia" w:ascii="微软雅黑" w:hAnsi="微软雅黑" w:eastAsia="微软雅黑" w:cs="微软雅黑"/>
          <w:sz w:val="21"/>
          <w:szCs w:val="21"/>
          <w:lang w:val="en-GB" w:eastAsia="zh-CN"/>
        </w:rPr>
        <w:t>东方报业和量子跃动</w:t>
      </w:r>
      <w:r>
        <w:rPr>
          <w:rFonts w:hint="eastAsia" w:ascii="微软雅黑" w:hAnsi="微软雅黑" w:eastAsia="微软雅黑" w:cs="微软雅黑"/>
          <w:bCs/>
          <w:color w:val="000000"/>
          <w:kern w:val="2"/>
          <w:sz w:val="21"/>
          <w:szCs w:val="21"/>
          <w:lang w:val="en-US" w:eastAsia="zh-CN"/>
        </w:rPr>
        <w:t>50万元人民币</w:t>
      </w:r>
      <w:r>
        <w:rPr>
          <w:rFonts w:hint="eastAsia" w:ascii="微软雅黑" w:hAnsi="微软雅黑" w:eastAsia="微软雅黑" w:cs="微软雅黑"/>
          <w:bCs/>
          <w:color w:val="000000"/>
          <w:kern w:val="2"/>
          <w:sz w:val="21"/>
          <w:szCs w:val="21"/>
        </w:rPr>
        <w:t>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《行政处罚法》第四十六条规定</w:t>
      </w:r>
      <w:r>
        <w:rPr>
          <w:rFonts w:hint="eastAsia" w:ascii="微软雅黑" w:hAnsi="微软雅黑" w:eastAsia="微软雅黑" w:cs="微软雅黑"/>
          <w:kern w:val="2"/>
          <w:sz w:val="21"/>
          <w:szCs w:val="21"/>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eastAsia="zh-CN"/>
        </w:rPr>
        <w:t>当事人</w:t>
      </w:r>
      <w:r>
        <w:rPr>
          <w:rFonts w:hint="eastAsia" w:ascii="微软雅黑" w:hAnsi="微软雅黑" w:eastAsia="微软雅黑" w:cs="微软雅黑"/>
          <w:kern w:val="2"/>
          <w:sz w:val="21"/>
          <w:szCs w:val="21"/>
        </w:rPr>
        <w:t>应当自收到本行政处罚决定书之日起十五日内，根据本行政处罚决定书，携缴款码到12家中央财政非税收入收缴代理银行（工、农、中、建、交、中信、光大、招商、邮储、华夏、平安、兴业）任一银行网点或者网上银行交纳罚款。</w:t>
      </w:r>
      <w:r>
        <w:rPr>
          <w:rFonts w:hint="eastAsia" w:ascii="微软雅黑" w:hAnsi="微软雅黑" w:eastAsia="微软雅黑" w:cs="微软雅黑"/>
          <w:color w:val="auto"/>
          <w:kern w:val="2"/>
          <w:sz w:val="21"/>
          <w:szCs w:val="21"/>
          <w:lang w:val="en-US" w:eastAsia="zh-CN"/>
        </w:rPr>
        <w:t>东方报业</w:t>
      </w:r>
      <w:r>
        <w:rPr>
          <w:rFonts w:hint="eastAsia" w:ascii="微软雅黑" w:hAnsi="微软雅黑" w:eastAsia="微软雅黑" w:cs="微软雅黑"/>
          <w:color w:val="auto"/>
          <w:kern w:val="2"/>
          <w:sz w:val="21"/>
          <w:szCs w:val="21"/>
        </w:rPr>
        <w:t>缴款码</w:t>
      </w:r>
      <w:r>
        <w:rPr>
          <w:rFonts w:hint="eastAsia" w:ascii="微软雅黑" w:hAnsi="微软雅黑" w:eastAsia="微软雅黑" w:cs="微软雅黑"/>
          <w:color w:val="auto"/>
          <w:kern w:val="2"/>
          <w:sz w:val="21"/>
          <w:szCs w:val="21"/>
          <w:lang w:eastAsia="zh-CN"/>
        </w:rPr>
        <w:t>为</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val="en-US" w:eastAsia="zh-CN"/>
        </w:rPr>
        <w:t>0000002100081696</w:t>
      </w:r>
      <w:r>
        <w:rPr>
          <w:rFonts w:hint="eastAsia" w:ascii="微软雅黑" w:hAnsi="微软雅黑" w:eastAsia="微软雅黑" w:cs="微软雅黑"/>
          <w:bCs/>
          <w:color w:val="000000"/>
          <w:kern w:val="2"/>
          <w:sz w:val="21"/>
          <w:szCs w:val="21"/>
          <w:lang w:eastAsia="zh-CN"/>
        </w:rPr>
        <w:t>，</w:t>
      </w:r>
      <w:r>
        <w:rPr>
          <w:rFonts w:hint="eastAsia" w:ascii="微软雅黑" w:hAnsi="微软雅黑" w:eastAsia="微软雅黑" w:cs="微软雅黑"/>
          <w:color w:val="auto"/>
          <w:kern w:val="2"/>
          <w:sz w:val="21"/>
          <w:szCs w:val="21"/>
          <w:lang w:val="en-US" w:eastAsia="zh-CN"/>
        </w:rPr>
        <w:t>量子跃动</w:t>
      </w:r>
      <w:r>
        <w:rPr>
          <w:rFonts w:hint="eastAsia" w:ascii="微软雅黑" w:hAnsi="微软雅黑" w:eastAsia="微软雅黑" w:cs="微软雅黑"/>
          <w:color w:val="auto"/>
          <w:kern w:val="2"/>
          <w:sz w:val="21"/>
          <w:szCs w:val="21"/>
        </w:rPr>
        <w:t>缴款码</w:t>
      </w:r>
      <w:r>
        <w:rPr>
          <w:rFonts w:hint="eastAsia" w:ascii="微软雅黑" w:hAnsi="微软雅黑" w:eastAsia="微软雅黑" w:cs="微软雅黑"/>
          <w:color w:val="auto"/>
          <w:kern w:val="2"/>
          <w:sz w:val="21"/>
          <w:szCs w:val="21"/>
          <w:lang w:eastAsia="zh-CN"/>
        </w:rPr>
        <w:t>为</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val="en-US" w:eastAsia="zh-CN"/>
        </w:rPr>
        <w:t>0000002100081709</w:t>
      </w:r>
      <w:r>
        <w:rPr>
          <w:rFonts w:hint="eastAsia" w:ascii="微软雅黑" w:hAnsi="微软雅黑" w:eastAsia="微软雅黑" w:cs="微软雅黑"/>
          <w:color w:val="auto"/>
          <w:kern w:val="2"/>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eastAsia="zh-CN"/>
        </w:rPr>
        <w:t>当事人</w:t>
      </w:r>
      <w:r>
        <w:rPr>
          <w:rFonts w:hint="eastAsia" w:ascii="微软雅黑" w:hAnsi="微软雅黑" w:eastAsia="微软雅黑" w:cs="微软雅黑"/>
          <w:kern w:val="2"/>
          <w:sz w:val="21"/>
          <w:szCs w:val="21"/>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p>
    <w:p>
      <w:pPr>
        <w:pStyle w:val="2"/>
        <w:rPr>
          <w:rFonts w:hint="eastAsia" w:ascii="微软雅黑" w:hAnsi="微软雅黑" w:eastAsia="微软雅黑" w:cs="微软雅黑"/>
          <w:sz w:val="21"/>
          <w:szCs w:val="21"/>
        </w:rPr>
      </w:pPr>
    </w:p>
    <w:p>
      <w:pPr>
        <w:keepNext w:val="0"/>
        <w:keepLines w:val="0"/>
        <w:pageBreakBefore w:val="0"/>
        <w:widowControl w:val="0"/>
        <w:kinsoku/>
        <w:wordWrap/>
        <w:topLinePunct w:val="0"/>
        <w:bidi w:val="0"/>
        <w:snapToGrid w:val="0"/>
        <w:spacing w:line="594" w:lineRule="exact"/>
        <w:ind w:firstLine="3935" w:firstLineChars="1929"/>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94" w:lineRule="exact"/>
        <w:ind w:firstLine="3876" w:firstLineChars="1900"/>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lang w:val="en-US" w:eastAsia="zh-CN"/>
        </w:rPr>
        <w:t>2021</w:t>
      </w:r>
      <w:r>
        <w:rPr>
          <w:rFonts w:hint="eastAsia" w:ascii="微软雅黑" w:hAnsi="微软雅黑" w:eastAsia="微软雅黑" w:cs="微软雅黑"/>
          <w:color w:val="auto"/>
          <w:kern w:val="2"/>
          <w:sz w:val="21"/>
          <w:szCs w:val="21"/>
        </w:rPr>
        <w:t>年</w:t>
      </w:r>
      <w:r>
        <w:rPr>
          <w:rFonts w:hint="eastAsia" w:ascii="微软雅黑" w:hAnsi="微软雅黑" w:eastAsia="微软雅黑" w:cs="微软雅黑"/>
          <w:color w:val="auto"/>
          <w:kern w:val="2"/>
          <w:sz w:val="21"/>
          <w:szCs w:val="21"/>
          <w:lang w:val="en-US" w:eastAsia="zh-CN"/>
        </w:rPr>
        <w:t>3</w:t>
      </w:r>
      <w:r>
        <w:rPr>
          <w:rFonts w:hint="eastAsia" w:ascii="微软雅黑" w:hAnsi="微软雅黑" w:eastAsia="微软雅黑" w:cs="微软雅黑"/>
          <w:color w:val="auto"/>
          <w:kern w:val="2"/>
          <w:sz w:val="21"/>
          <w:szCs w:val="21"/>
        </w:rPr>
        <w:t>月</w:t>
      </w:r>
      <w:r>
        <w:rPr>
          <w:rFonts w:hint="eastAsia" w:ascii="微软雅黑" w:hAnsi="微软雅黑" w:eastAsia="微软雅黑" w:cs="微软雅黑"/>
          <w:color w:val="auto"/>
          <w:kern w:val="2"/>
          <w:sz w:val="21"/>
          <w:szCs w:val="21"/>
          <w:lang w:val="en-US" w:eastAsia="zh-CN"/>
        </w:rPr>
        <w:t>12</w:t>
      </w:r>
      <w:r>
        <w:rPr>
          <w:rFonts w:hint="eastAsia" w:ascii="微软雅黑" w:hAnsi="微软雅黑" w:eastAsia="微软雅黑" w:cs="微软雅黑"/>
          <w:color w:val="auto"/>
          <w:kern w:val="2"/>
          <w:sz w:val="21"/>
          <w:szCs w:val="21"/>
        </w:rPr>
        <w:t>日</w:t>
      </w:r>
    </w:p>
    <w:p>
      <w:pPr>
        <w:pStyle w:val="2"/>
        <w:keepNext w:val="0"/>
        <w:keepLines w:val="0"/>
        <w:pageBreakBefore w:val="0"/>
        <w:kinsoku/>
        <w:wordWrap/>
        <w:topLinePunct w:val="0"/>
        <w:bidi w:val="0"/>
        <w:spacing w:line="594" w:lineRule="exact"/>
        <w:textAlignment w:val="auto"/>
        <w:rPr>
          <w:rFonts w:hint="eastAsia" w:ascii="微软雅黑" w:hAnsi="微软雅黑" w:eastAsia="微软雅黑" w:cs="微软雅黑"/>
          <w:color w:val="auto"/>
          <w:kern w:val="2"/>
          <w:sz w:val="21"/>
          <w:szCs w:val="21"/>
        </w:rPr>
      </w:pPr>
    </w:p>
    <w:p>
      <w:pPr>
        <w:pStyle w:val="2"/>
        <w:keepNext w:val="0"/>
        <w:keepLines w:val="0"/>
        <w:pageBreakBefore w:val="0"/>
        <w:kinsoku/>
        <w:wordWrap/>
        <w:topLinePunct w:val="0"/>
        <w:bidi w:val="0"/>
        <w:spacing w:line="594" w:lineRule="exact"/>
        <w:textAlignment w:val="auto"/>
        <w:rPr>
          <w:rFonts w:hint="eastAsia" w:ascii="微软雅黑" w:hAnsi="微软雅黑" w:eastAsia="微软雅黑" w:cs="微软雅黑"/>
          <w:color w:val="auto"/>
          <w:kern w:val="2"/>
          <w:sz w:val="21"/>
          <w:szCs w:val="21"/>
        </w:rPr>
      </w:pP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（此件公开发布）</w:t>
      </w:r>
    </w:p>
    <w:bookmarkEnd w:id="0"/>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2"/>
  <w:drawingGridVerticalSpacing w:val="28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581"/>
    <w:rsid w:val="000548A3"/>
    <w:rsid w:val="000827DF"/>
    <w:rsid w:val="00091794"/>
    <w:rsid w:val="00104DF8"/>
    <w:rsid w:val="0012430A"/>
    <w:rsid w:val="00133F5C"/>
    <w:rsid w:val="001377A0"/>
    <w:rsid w:val="00157F53"/>
    <w:rsid w:val="001659F5"/>
    <w:rsid w:val="001D38FA"/>
    <w:rsid w:val="001D41C2"/>
    <w:rsid w:val="00215C4B"/>
    <w:rsid w:val="002211B6"/>
    <w:rsid w:val="00224158"/>
    <w:rsid w:val="00234B72"/>
    <w:rsid w:val="00245423"/>
    <w:rsid w:val="00252E7C"/>
    <w:rsid w:val="00290548"/>
    <w:rsid w:val="00295562"/>
    <w:rsid w:val="002A1B6C"/>
    <w:rsid w:val="002A7578"/>
    <w:rsid w:val="002D4659"/>
    <w:rsid w:val="002D6CFB"/>
    <w:rsid w:val="002D7588"/>
    <w:rsid w:val="002F155E"/>
    <w:rsid w:val="0031556A"/>
    <w:rsid w:val="00373D66"/>
    <w:rsid w:val="003A1E45"/>
    <w:rsid w:val="003A4782"/>
    <w:rsid w:val="003D3BC1"/>
    <w:rsid w:val="003D6E20"/>
    <w:rsid w:val="003F7ACA"/>
    <w:rsid w:val="004715CB"/>
    <w:rsid w:val="004A3B22"/>
    <w:rsid w:val="004A6137"/>
    <w:rsid w:val="004B0121"/>
    <w:rsid w:val="004B1754"/>
    <w:rsid w:val="004B55D7"/>
    <w:rsid w:val="004B6FC4"/>
    <w:rsid w:val="004B7197"/>
    <w:rsid w:val="004C4C76"/>
    <w:rsid w:val="005036C6"/>
    <w:rsid w:val="00521A14"/>
    <w:rsid w:val="00550A0E"/>
    <w:rsid w:val="005701B7"/>
    <w:rsid w:val="0057731C"/>
    <w:rsid w:val="005834E9"/>
    <w:rsid w:val="00583867"/>
    <w:rsid w:val="00587D8A"/>
    <w:rsid w:val="005927DC"/>
    <w:rsid w:val="005B5018"/>
    <w:rsid w:val="005D07A8"/>
    <w:rsid w:val="005D48B1"/>
    <w:rsid w:val="00604C0E"/>
    <w:rsid w:val="00614049"/>
    <w:rsid w:val="00630C68"/>
    <w:rsid w:val="00655AF9"/>
    <w:rsid w:val="00656161"/>
    <w:rsid w:val="006578EE"/>
    <w:rsid w:val="00660A94"/>
    <w:rsid w:val="00661399"/>
    <w:rsid w:val="0066394B"/>
    <w:rsid w:val="006A3757"/>
    <w:rsid w:val="006A50C5"/>
    <w:rsid w:val="006A5BC7"/>
    <w:rsid w:val="006B5883"/>
    <w:rsid w:val="006C3A6D"/>
    <w:rsid w:val="006D4879"/>
    <w:rsid w:val="006E715E"/>
    <w:rsid w:val="00703F3B"/>
    <w:rsid w:val="00705AB4"/>
    <w:rsid w:val="00725EB8"/>
    <w:rsid w:val="0073264D"/>
    <w:rsid w:val="0076009F"/>
    <w:rsid w:val="007754D3"/>
    <w:rsid w:val="007B40DF"/>
    <w:rsid w:val="007C5FFE"/>
    <w:rsid w:val="007E404F"/>
    <w:rsid w:val="008039F4"/>
    <w:rsid w:val="008421E5"/>
    <w:rsid w:val="008546C0"/>
    <w:rsid w:val="0086703C"/>
    <w:rsid w:val="00880EEE"/>
    <w:rsid w:val="008A6262"/>
    <w:rsid w:val="008C4F45"/>
    <w:rsid w:val="008C74C9"/>
    <w:rsid w:val="008F7380"/>
    <w:rsid w:val="009054BC"/>
    <w:rsid w:val="00933B18"/>
    <w:rsid w:val="009766E6"/>
    <w:rsid w:val="009C1DFA"/>
    <w:rsid w:val="009C2E79"/>
    <w:rsid w:val="009C64B1"/>
    <w:rsid w:val="00A1167A"/>
    <w:rsid w:val="00A43255"/>
    <w:rsid w:val="00A43444"/>
    <w:rsid w:val="00A579FA"/>
    <w:rsid w:val="00A64434"/>
    <w:rsid w:val="00A863CB"/>
    <w:rsid w:val="00AA210A"/>
    <w:rsid w:val="00AF28DA"/>
    <w:rsid w:val="00AF75F0"/>
    <w:rsid w:val="00B219BA"/>
    <w:rsid w:val="00B26526"/>
    <w:rsid w:val="00B63EEB"/>
    <w:rsid w:val="00B73583"/>
    <w:rsid w:val="00B76FB1"/>
    <w:rsid w:val="00B94346"/>
    <w:rsid w:val="00B948A7"/>
    <w:rsid w:val="00B972B7"/>
    <w:rsid w:val="00BA16FE"/>
    <w:rsid w:val="00BD7CF0"/>
    <w:rsid w:val="00BE39C4"/>
    <w:rsid w:val="00BF319F"/>
    <w:rsid w:val="00C0343D"/>
    <w:rsid w:val="00C157EB"/>
    <w:rsid w:val="00C206BA"/>
    <w:rsid w:val="00C302A6"/>
    <w:rsid w:val="00C54183"/>
    <w:rsid w:val="00C77643"/>
    <w:rsid w:val="00C87B50"/>
    <w:rsid w:val="00CC3D1E"/>
    <w:rsid w:val="00D039F2"/>
    <w:rsid w:val="00D03E5A"/>
    <w:rsid w:val="00D10C55"/>
    <w:rsid w:val="00D12714"/>
    <w:rsid w:val="00D216FE"/>
    <w:rsid w:val="00D26834"/>
    <w:rsid w:val="00D30DD5"/>
    <w:rsid w:val="00D40512"/>
    <w:rsid w:val="00D43969"/>
    <w:rsid w:val="00D61F35"/>
    <w:rsid w:val="00D64391"/>
    <w:rsid w:val="00D71DFB"/>
    <w:rsid w:val="00D71ED4"/>
    <w:rsid w:val="00D746CB"/>
    <w:rsid w:val="00D85D06"/>
    <w:rsid w:val="00D873E3"/>
    <w:rsid w:val="00DB5CAF"/>
    <w:rsid w:val="00DD56EC"/>
    <w:rsid w:val="00DE3DCF"/>
    <w:rsid w:val="00E22F9F"/>
    <w:rsid w:val="00E4554C"/>
    <w:rsid w:val="00E508DB"/>
    <w:rsid w:val="00E541CD"/>
    <w:rsid w:val="00E557EF"/>
    <w:rsid w:val="00E55B87"/>
    <w:rsid w:val="00EA037C"/>
    <w:rsid w:val="00EC0E39"/>
    <w:rsid w:val="00EC70E9"/>
    <w:rsid w:val="00ED1821"/>
    <w:rsid w:val="00ED42C0"/>
    <w:rsid w:val="00F02F79"/>
    <w:rsid w:val="00F10C7C"/>
    <w:rsid w:val="00F20E60"/>
    <w:rsid w:val="00F72F95"/>
    <w:rsid w:val="00F90DCE"/>
    <w:rsid w:val="00FA4B88"/>
    <w:rsid w:val="00FC731D"/>
    <w:rsid w:val="00FD276D"/>
    <w:rsid w:val="00FE4FC2"/>
    <w:rsid w:val="00FE6553"/>
    <w:rsid w:val="03570C80"/>
    <w:rsid w:val="040D264D"/>
    <w:rsid w:val="049F3EDB"/>
    <w:rsid w:val="04E75D87"/>
    <w:rsid w:val="0B307E77"/>
    <w:rsid w:val="0D4D2427"/>
    <w:rsid w:val="0D8F1716"/>
    <w:rsid w:val="104E0B39"/>
    <w:rsid w:val="11C24FD8"/>
    <w:rsid w:val="132500A4"/>
    <w:rsid w:val="13752A27"/>
    <w:rsid w:val="14BF3EE3"/>
    <w:rsid w:val="177C27C1"/>
    <w:rsid w:val="1AA37108"/>
    <w:rsid w:val="1B28094D"/>
    <w:rsid w:val="1FAB48BB"/>
    <w:rsid w:val="211B31BE"/>
    <w:rsid w:val="24C87A47"/>
    <w:rsid w:val="2D285FD0"/>
    <w:rsid w:val="2DE60730"/>
    <w:rsid w:val="2E301C88"/>
    <w:rsid w:val="2E7343AE"/>
    <w:rsid w:val="301A4762"/>
    <w:rsid w:val="32DC238B"/>
    <w:rsid w:val="3402658C"/>
    <w:rsid w:val="34524D2B"/>
    <w:rsid w:val="3ABD31FA"/>
    <w:rsid w:val="3C8E4D2B"/>
    <w:rsid w:val="3CE953A3"/>
    <w:rsid w:val="3E974195"/>
    <w:rsid w:val="451B0817"/>
    <w:rsid w:val="47EC72A8"/>
    <w:rsid w:val="4AB65652"/>
    <w:rsid w:val="4D1A7D4E"/>
    <w:rsid w:val="4D39790A"/>
    <w:rsid w:val="542559AB"/>
    <w:rsid w:val="542A0388"/>
    <w:rsid w:val="5F3D449D"/>
    <w:rsid w:val="63464DED"/>
    <w:rsid w:val="653809D0"/>
    <w:rsid w:val="66034A8F"/>
    <w:rsid w:val="6B146BDD"/>
    <w:rsid w:val="74D14500"/>
    <w:rsid w:val="773F1AB0"/>
    <w:rsid w:val="7BE94923"/>
    <w:rsid w:val="7C291E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10">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4</Pages>
  <Words>250</Words>
  <Characters>1427</Characters>
  <Lines>11</Lines>
  <Paragraphs>3</Paragraphs>
  <TotalTime>161</TotalTime>
  <ScaleCrop>false</ScaleCrop>
  <LinksUpToDate>false</LinksUpToDate>
  <CharactersWithSpaces>1674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2020-04-01T01:55:00Z</dcterms:created>
  <dc:creator>FtpDown</dc:creator>
  <cp:lastModifiedBy>陈永仁</cp:lastModifiedBy>
  <cp:lastPrinted>2021-03-11T07:08:00Z</cp:lastPrinted>
  <dcterms:modified xsi:type="dcterms:W3CDTF">2021-04-02T06:45:07Z</dcterms:modified>
  <dc:title>国有工商行政管理总局行政处罚公告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