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80" w:lineRule="exact"/>
        <w:jc w:val="center"/>
        <w:textAlignment w:val="auto"/>
        <w:rPr>
          <w:rFonts w:eastAsia="黑体"/>
          <w:bCs/>
          <w:color w:val="000000"/>
          <w:kern w:val="2"/>
          <w:sz w:val="52"/>
          <w:szCs w:val="52"/>
        </w:rPr>
      </w:pPr>
      <w:r>
        <w:rPr>
          <w:rFonts w:hint="eastAsia" w:eastAsia="黑体"/>
          <w:bCs/>
          <w:color w:val="000000"/>
          <w:spacing w:val="30"/>
          <w:kern w:val="2"/>
          <w:sz w:val="52"/>
          <w:szCs w:val="52"/>
          <w:fitText w:val="5742" w:id="0"/>
        </w:rPr>
        <w:t>国</w:t>
      </w:r>
      <w:bookmarkStart w:id="0" w:name="_GoBack"/>
      <w:bookmarkEnd w:id="0"/>
      <w:r>
        <w:rPr>
          <w:rFonts w:hint="eastAsia" w:eastAsia="黑体"/>
          <w:bCs/>
          <w:color w:val="000000"/>
          <w:spacing w:val="30"/>
          <w:kern w:val="2"/>
          <w:sz w:val="52"/>
          <w:szCs w:val="52"/>
          <w:fitText w:val="5742" w:id="0"/>
        </w:rPr>
        <w:t>家市场监督管理总</w:t>
      </w:r>
      <w:r>
        <w:rPr>
          <w:rFonts w:hint="eastAsia" w:eastAsia="黑体"/>
          <w:bCs/>
          <w:color w:val="000000"/>
          <w:spacing w:val="1"/>
          <w:kern w:val="2"/>
          <w:sz w:val="52"/>
          <w:szCs w:val="52"/>
          <w:fitText w:val="5742" w:id="0"/>
        </w:rPr>
        <w:t>局</w:t>
      </w:r>
    </w:p>
    <w:p>
      <w:pPr>
        <w:keepNext w:val="0"/>
        <w:keepLines w:val="0"/>
        <w:pageBreakBefore w:val="0"/>
        <w:widowControl w:val="0"/>
        <w:kinsoku/>
        <w:wordWrap/>
        <w:topLinePunct w:val="0"/>
        <w:bidi w:val="0"/>
        <w:spacing w:line="580" w:lineRule="exact"/>
        <w:jc w:val="center"/>
        <w:textAlignment w:val="auto"/>
        <w:rPr>
          <w:rFonts w:eastAsia="仿宋_GB2312"/>
          <w:color w:val="000000"/>
          <w:kern w:val="2"/>
          <w:sz w:val="44"/>
          <w:szCs w:val="44"/>
        </w:rPr>
      </w:pPr>
      <w:r>
        <w:rPr>
          <w:rFonts w:hint="eastAsia" w:eastAsia="黑体"/>
          <w:bCs/>
          <w:color w:val="000000"/>
          <w:spacing w:val="175"/>
          <w:kern w:val="2"/>
          <w:sz w:val="52"/>
          <w:szCs w:val="52"/>
          <w:fitText w:val="5742" w:id="1"/>
        </w:rPr>
        <w:t>行政处罚决定</w:t>
      </w:r>
      <w:r>
        <w:rPr>
          <w:rFonts w:hint="eastAsia" w:eastAsia="黑体"/>
          <w:bCs/>
          <w:color w:val="000000"/>
          <w:spacing w:val="1"/>
          <w:kern w:val="2"/>
          <w:sz w:val="52"/>
          <w:szCs w:val="52"/>
          <w:fitText w:val="5742" w:id="1"/>
        </w:rPr>
        <w:t>书</w:t>
      </w:r>
    </w:p>
    <w:p>
      <w:pPr>
        <w:keepNext w:val="0"/>
        <w:keepLines w:val="0"/>
        <w:pageBreakBefore w:val="0"/>
        <w:widowControl w:val="0"/>
        <w:kinsoku/>
        <w:wordWrap/>
        <w:topLinePunct w:val="0"/>
        <w:bidi w:val="0"/>
        <w:spacing w:line="580" w:lineRule="exact"/>
        <w:jc w:val="center"/>
        <w:textAlignment w:val="auto"/>
        <w:rPr>
          <w:rFonts w:hint="eastAsia" w:eastAsia="仿宋_GB2312"/>
          <w:kern w:val="2"/>
          <w:sz w:val="32"/>
          <w:szCs w:val="32"/>
        </w:rPr>
      </w:pPr>
      <w:r>
        <w:rPr>
          <w:rFonts w:hint="eastAsia" w:eastAsia="仿宋_GB2312"/>
          <w:kern w:val="2"/>
          <w:sz w:val="32"/>
          <w:szCs w:val="32"/>
        </w:rPr>
        <w:t>国市监处〔202</w:t>
      </w:r>
      <w:r>
        <w:rPr>
          <w:rFonts w:hint="eastAsia" w:eastAsia="仿宋_GB2312"/>
          <w:kern w:val="2"/>
          <w:sz w:val="32"/>
          <w:szCs w:val="32"/>
          <w:lang w:val="en-US" w:eastAsia="zh-CN"/>
        </w:rPr>
        <w:t>1</w:t>
      </w:r>
      <w:r>
        <w:rPr>
          <w:rFonts w:hint="eastAsia" w:eastAsia="仿宋_GB2312"/>
          <w:kern w:val="2"/>
          <w:sz w:val="32"/>
          <w:szCs w:val="32"/>
        </w:rPr>
        <w:t>〕</w:t>
      </w:r>
      <w:r>
        <w:rPr>
          <w:rFonts w:hint="eastAsia" w:eastAsia="仿宋_GB2312"/>
          <w:kern w:val="2"/>
          <w:sz w:val="32"/>
          <w:szCs w:val="32"/>
          <w:lang w:val="en-US" w:eastAsia="zh-CN"/>
        </w:rPr>
        <w:t>5</w:t>
      </w:r>
      <w:r>
        <w:rPr>
          <w:rFonts w:hint="eastAsia" w:eastAsia="仿宋_GB2312"/>
          <w:kern w:val="2"/>
          <w:sz w:val="32"/>
          <w:szCs w:val="32"/>
        </w:rPr>
        <w:t>号</w:t>
      </w:r>
    </w:p>
    <w:p>
      <w:pPr>
        <w:keepNext w:val="0"/>
        <w:keepLines w:val="0"/>
        <w:pageBreakBefore w:val="0"/>
        <w:widowControl w:val="0"/>
        <w:kinsoku/>
        <w:wordWrap/>
        <w:topLinePunct w:val="0"/>
        <w:bidi w:val="0"/>
        <w:spacing w:line="580" w:lineRule="exact"/>
        <w:jc w:val="center"/>
        <w:textAlignment w:val="auto"/>
        <w:rPr>
          <w:rFonts w:hint="eastAsia" w:eastAsia="仿宋_GB2312"/>
          <w:kern w:val="2"/>
          <w:sz w:val="28"/>
          <w:szCs w:val="28"/>
        </w:rPr>
      </w:pP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eastAsia="仿宋_GB2312"/>
          <w:kern w:val="2"/>
          <w:sz w:val="32"/>
          <w:szCs w:val="32"/>
        </w:rPr>
      </w:pPr>
      <w:r>
        <w:rPr>
          <w:rFonts w:hint="eastAsia" w:eastAsia="仿宋_GB2312"/>
          <w:kern w:val="2"/>
          <w:sz w:val="32"/>
          <w:szCs w:val="32"/>
        </w:rPr>
        <w:t>当事人：</w:t>
      </w:r>
      <w:r>
        <w:rPr>
          <w:rFonts w:hint="default" w:ascii="Times New Roman" w:hAnsi="Times New Roman" w:eastAsia="仿宋_GB2312" w:cs="Times New Roman"/>
          <w:sz w:val="32"/>
          <w:lang w:eastAsia="zh-CN"/>
        </w:rPr>
        <w:t>中山乐兴企业管理咨询有限公司</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eastAsia="仿宋_GB2312"/>
          <w:kern w:val="2"/>
          <w:sz w:val="32"/>
          <w:szCs w:val="32"/>
        </w:rPr>
      </w:pPr>
      <w:r>
        <w:rPr>
          <w:rFonts w:hint="eastAsia" w:eastAsia="仿宋_GB2312"/>
          <w:kern w:val="2"/>
          <w:sz w:val="32"/>
          <w:szCs w:val="32"/>
        </w:rPr>
        <w:t>住  所：中山市小榄镇绩东一福安路1号中山建华管桩有限公司办公楼三楼</w:t>
      </w:r>
    </w:p>
    <w:p>
      <w:pPr>
        <w:pStyle w:val="2"/>
        <w:rPr>
          <w:rFonts w:hint="eastAsia"/>
        </w:rPr>
      </w:pP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eastAsia="仿宋_GB2312"/>
          <w:kern w:val="2"/>
          <w:sz w:val="32"/>
          <w:szCs w:val="32"/>
        </w:rPr>
      </w:pPr>
      <w:r>
        <w:rPr>
          <w:rFonts w:hint="eastAsia" w:eastAsia="仿宋_GB2312"/>
          <w:kern w:val="2"/>
          <w:sz w:val="32"/>
          <w:szCs w:val="32"/>
        </w:rPr>
        <w:t>根据《</w:t>
      </w:r>
      <w:r>
        <w:rPr>
          <w:rFonts w:hint="eastAsia" w:eastAsia="仿宋_GB2312"/>
          <w:kern w:val="2"/>
          <w:sz w:val="32"/>
          <w:szCs w:val="32"/>
          <w:lang w:eastAsia="zh-CN"/>
        </w:rPr>
        <w:t>中华人民共和国</w:t>
      </w:r>
      <w:r>
        <w:rPr>
          <w:rFonts w:hint="eastAsia" w:eastAsia="仿宋_GB2312"/>
          <w:kern w:val="2"/>
          <w:sz w:val="32"/>
          <w:szCs w:val="32"/>
        </w:rPr>
        <w:t>反垄断法》</w:t>
      </w:r>
      <w:r>
        <w:rPr>
          <w:rFonts w:hint="default" w:ascii="Times New Roman" w:hAnsi="Times New Roman" w:eastAsia="仿宋_GB2312" w:cs="Times New Roman"/>
          <w:sz w:val="32"/>
          <w:szCs w:val="32"/>
          <w:lang w:eastAsia="zh-CN"/>
        </w:rPr>
        <w:t>（以下简称</w:t>
      </w:r>
      <w:r>
        <w:rPr>
          <w:rFonts w:hint="eastAsia" w:eastAsia="仿宋_GB2312" w:cs="Times New Roman"/>
          <w:sz w:val="32"/>
          <w:lang w:eastAsia="zh-CN"/>
        </w:rPr>
        <w:t>《反垄断法》</w:t>
      </w:r>
      <w:r>
        <w:rPr>
          <w:rFonts w:hint="default" w:ascii="Times New Roman" w:hAnsi="Times New Roman" w:eastAsia="仿宋_GB2312" w:cs="Times New Roman"/>
          <w:sz w:val="32"/>
          <w:szCs w:val="32"/>
          <w:lang w:eastAsia="zh-CN"/>
        </w:rPr>
        <w:t>）</w:t>
      </w:r>
      <w:r>
        <w:rPr>
          <w:rFonts w:hint="eastAsia" w:eastAsia="仿宋_GB2312"/>
          <w:kern w:val="2"/>
          <w:sz w:val="32"/>
          <w:szCs w:val="32"/>
        </w:rPr>
        <w:t>，本机关于</w:t>
      </w:r>
      <w:r>
        <w:rPr>
          <w:rFonts w:hint="default" w:ascii="Times New Roman" w:hAnsi="Times New Roman" w:eastAsia="仿宋_GB2312" w:cs="Times New Roman"/>
          <w:kern w:val="2"/>
          <w:sz w:val="32"/>
          <w:szCs w:val="32"/>
          <w:lang w:val="en-US" w:eastAsia="zh-CN"/>
        </w:rPr>
        <w:t>20</w:t>
      </w:r>
      <w:r>
        <w:rPr>
          <w:rFonts w:hint="eastAsia" w:ascii="Times New Roman" w:hAnsi="Times New Roman" w:eastAsia="仿宋_GB2312" w:cs="Times New Roman"/>
          <w:kern w:val="2"/>
          <w:sz w:val="32"/>
          <w:szCs w:val="32"/>
          <w:lang w:val="en-US" w:eastAsia="zh-CN"/>
        </w:rPr>
        <w:t>20</w:t>
      </w:r>
      <w:r>
        <w:rPr>
          <w:rFonts w:hint="default" w:ascii="Times New Roman" w:hAnsi="Times New Roman" w:eastAsia="仿宋_GB2312" w:cs="Times New Roman"/>
          <w:kern w:val="2"/>
          <w:sz w:val="32"/>
          <w:szCs w:val="32"/>
          <w:lang w:val="en-US" w:eastAsia="zh-CN"/>
        </w:rPr>
        <w:t>年</w:t>
      </w:r>
      <w:r>
        <w:rPr>
          <w:rFonts w:hint="default" w:ascii="Times New Roman" w:hAnsi="Times New Roman" w:eastAsia="仿宋_GB2312" w:cs="Times New Roman"/>
          <w:sz w:val="32"/>
          <w:lang w:val="en-US" w:eastAsia="zh-CN"/>
        </w:rPr>
        <w:t>6月28日</w:t>
      </w:r>
      <w:r>
        <w:rPr>
          <w:rFonts w:hint="eastAsia" w:eastAsia="仿宋_GB2312"/>
          <w:kern w:val="2"/>
          <w:sz w:val="32"/>
          <w:szCs w:val="32"/>
        </w:rPr>
        <w:t>对</w:t>
      </w:r>
      <w:r>
        <w:rPr>
          <w:rFonts w:hint="default" w:ascii="Times New Roman" w:hAnsi="Times New Roman" w:eastAsia="仿宋_GB2312" w:cs="Times New Roman"/>
          <w:sz w:val="32"/>
          <w:lang w:eastAsia="zh-CN"/>
        </w:rPr>
        <w:t>中山乐兴企业管理咨询有限公司</w:t>
      </w:r>
      <w:r>
        <w:rPr>
          <w:rFonts w:hint="default" w:ascii="Times New Roman" w:hAnsi="Times New Roman" w:eastAsia="仿宋_GB2312" w:cs="Times New Roman"/>
          <w:sz w:val="32"/>
          <w:szCs w:val="32"/>
          <w:lang w:eastAsia="zh-CN"/>
        </w:rPr>
        <w:t>（以下简称</w:t>
      </w:r>
      <w:r>
        <w:rPr>
          <w:rFonts w:hint="default" w:ascii="Times New Roman" w:hAnsi="Times New Roman" w:eastAsia="仿宋_GB2312" w:cs="Times New Roman"/>
          <w:sz w:val="32"/>
          <w:lang w:eastAsia="zh-CN"/>
        </w:rPr>
        <w:t>中山乐兴</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通过合同</w:t>
      </w:r>
      <w:r>
        <w:rPr>
          <w:rFonts w:hint="eastAsia" w:ascii="Times New Roman" w:hAnsi="Times New Roman" w:eastAsia="仿宋_GB2312" w:cs="Times New Roman"/>
          <w:sz w:val="32"/>
          <w:szCs w:val="32"/>
          <w:lang w:val="en-US" w:eastAsia="zh-CN"/>
        </w:rPr>
        <w:t>取得</w:t>
      </w:r>
      <w:r>
        <w:rPr>
          <w:rFonts w:hint="default" w:ascii="Times New Roman" w:hAnsi="Times New Roman" w:eastAsia="仿宋_GB2312" w:cs="Times New Roman"/>
          <w:sz w:val="32"/>
          <w:lang w:eastAsia="zh-CN"/>
        </w:rPr>
        <w:t>深圳市索菱实业股份有限公司</w:t>
      </w:r>
      <w:r>
        <w:rPr>
          <w:rFonts w:hint="default" w:ascii="Times New Roman" w:hAnsi="Times New Roman" w:eastAsia="仿宋_GB2312" w:cs="Times New Roman"/>
          <w:sz w:val="32"/>
          <w:szCs w:val="32"/>
          <w:lang w:eastAsia="zh-CN"/>
        </w:rPr>
        <w:t>（以下简称深圳索菱）</w:t>
      </w:r>
      <w:r>
        <w:rPr>
          <w:rFonts w:hint="eastAsia" w:ascii="Times New Roman" w:hAnsi="Times New Roman" w:eastAsia="仿宋_GB2312" w:cs="Times New Roman"/>
          <w:sz w:val="32"/>
          <w:szCs w:val="32"/>
          <w:lang w:val="en-US" w:eastAsia="zh-CN"/>
        </w:rPr>
        <w:t>控制权</w:t>
      </w:r>
      <w:r>
        <w:rPr>
          <w:rFonts w:hint="default" w:ascii="Times New Roman" w:hAnsi="Times New Roman" w:eastAsia="仿宋_GB2312" w:cs="Times New Roman"/>
          <w:kern w:val="2"/>
          <w:sz w:val="32"/>
          <w:szCs w:val="32"/>
        </w:rPr>
        <w:t>涉嫌未依法申报违法实施经营者集中案</w:t>
      </w:r>
      <w:r>
        <w:rPr>
          <w:rFonts w:hint="eastAsia" w:eastAsia="仿宋_GB2312"/>
          <w:kern w:val="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eastAsia="仿宋_GB2312"/>
          <w:kern w:val="2"/>
          <w:sz w:val="32"/>
          <w:szCs w:val="32"/>
        </w:rPr>
      </w:pPr>
      <w:r>
        <w:rPr>
          <w:rFonts w:hint="eastAsia" w:eastAsia="仿宋_GB2312"/>
          <w:kern w:val="2"/>
          <w:sz w:val="32"/>
          <w:szCs w:val="32"/>
        </w:rPr>
        <w:t>经查，该案构成未依法申报违法实施的经营者集中，但不具有排除、限制竞争的效果。本机关按照《</w:t>
      </w:r>
      <w:r>
        <w:rPr>
          <w:rFonts w:hint="eastAsia" w:eastAsia="仿宋_GB2312"/>
          <w:kern w:val="2"/>
          <w:sz w:val="32"/>
          <w:szCs w:val="32"/>
          <w:lang w:eastAsia="zh-CN"/>
        </w:rPr>
        <w:t>中华人民共和国</w:t>
      </w:r>
      <w:r>
        <w:rPr>
          <w:rFonts w:hint="eastAsia" w:eastAsia="仿宋_GB2312"/>
          <w:kern w:val="2"/>
          <w:sz w:val="32"/>
          <w:szCs w:val="32"/>
        </w:rPr>
        <w:t>行政处罚法》</w:t>
      </w:r>
      <w:r>
        <w:rPr>
          <w:rFonts w:hint="default" w:ascii="Times New Roman" w:hAnsi="Times New Roman" w:eastAsia="仿宋_GB2312" w:cs="Times New Roman"/>
          <w:sz w:val="32"/>
          <w:szCs w:val="32"/>
          <w:lang w:eastAsia="zh-CN"/>
        </w:rPr>
        <w:t>（以下简称</w:t>
      </w:r>
      <w:r>
        <w:rPr>
          <w:rFonts w:hint="eastAsia" w:eastAsia="仿宋_GB2312"/>
          <w:kern w:val="2"/>
          <w:sz w:val="32"/>
          <w:szCs w:val="32"/>
        </w:rPr>
        <w:t>《行政处罚法》</w:t>
      </w:r>
      <w:r>
        <w:rPr>
          <w:rFonts w:hint="default" w:ascii="Times New Roman" w:hAnsi="Times New Roman" w:eastAsia="仿宋_GB2312" w:cs="Times New Roman"/>
          <w:sz w:val="32"/>
          <w:szCs w:val="32"/>
          <w:lang w:eastAsia="zh-CN"/>
        </w:rPr>
        <w:t>）</w:t>
      </w:r>
      <w:r>
        <w:rPr>
          <w:rFonts w:hint="eastAsia" w:eastAsia="仿宋_GB2312"/>
          <w:kern w:val="2"/>
          <w:sz w:val="32"/>
          <w:szCs w:val="32"/>
        </w:rPr>
        <w:t>的规定，向</w:t>
      </w:r>
      <w:r>
        <w:rPr>
          <w:rFonts w:hint="eastAsia" w:eastAsia="仿宋_GB2312" w:cs="Times New Roman"/>
          <w:sz w:val="32"/>
          <w:szCs w:val="32"/>
          <w:lang w:eastAsia="zh-CN"/>
        </w:rPr>
        <w:t>中山乐兴</w:t>
      </w:r>
      <w:r>
        <w:rPr>
          <w:rFonts w:hint="eastAsia" w:eastAsia="仿宋_GB2312"/>
          <w:kern w:val="2"/>
          <w:sz w:val="32"/>
          <w:szCs w:val="32"/>
        </w:rPr>
        <w:t>送达了《行政处罚告知书》，告知其拟作出行政处罚决定的事实、理由、证据、处罚内容，以及其依法享有的陈述权、申辩权和要求听证权。</w:t>
      </w:r>
      <w:r>
        <w:rPr>
          <w:rFonts w:hint="eastAsia" w:eastAsia="仿宋_GB2312" w:cs="Times New Roman"/>
          <w:sz w:val="32"/>
          <w:szCs w:val="32"/>
          <w:lang w:eastAsia="zh-CN"/>
        </w:rPr>
        <w:t>中山乐兴</w:t>
      </w:r>
      <w:r>
        <w:rPr>
          <w:rFonts w:hint="eastAsia" w:eastAsia="仿宋_GB2312"/>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ascii="黑体" w:hAnsi="黑体" w:eastAsia="黑体"/>
          <w:kern w:val="2"/>
          <w:sz w:val="32"/>
          <w:szCs w:val="32"/>
        </w:rPr>
      </w:pPr>
      <w:r>
        <w:rPr>
          <w:rFonts w:hint="eastAsia" w:ascii="黑体" w:hAnsi="黑体" w:eastAsia="黑体"/>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ascii="楷体_GB2312" w:eastAsia="楷体_GB2312"/>
          <w:kern w:val="2"/>
          <w:sz w:val="32"/>
          <w:szCs w:val="32"/>
        </w:rPr>
      </w:pPr>
      <w:r>
        <w:rPr>
          <w:rFonts w:hint="eastAsia" w:ascii="楷体_GB2312" w:eastAsia="楷体_GB2312"/>
          <w:kern w:val="2"/>
          <w:sz w:val="32"/>
          <w:szCs w:val="32"/>
        </w:rPr>
        <w:t>（一）交易方。</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628" w:firstLineChars="200"/>
        <w:textAlignment w:val="auto"/>
        <w:outlineLvl w:val="9"/>
        <w:rPr>
          <w:rFonts w:hint="default" w:ascii="Times New Roman" w:hAnsi="Times New Roman" w:eastAsia="仿宋_GB2312" w:cs="Times New Roman"/>
          <w:sz w:val="32"/>
          <w:lang w:val="en-US" w:eastAsia="zh-CN"/>
        </w:rPr>
      </w:pPr>
      <w:r>
        <w:rPr>
          <w:rFonts w:hint="default" w:ascii="Times New Roman" w:hAnsi="Times New Roman" w:eastAsia="仿宋_GB2312" w:cs="Times New Roman"/>
          <w:b/>
          <w:bCs/>
          <w:sz w:val="32"/>
          <w:lang w:val="en-US" w:eastAsia="zh-CN"/>
        </w:rPr>
        <w:t>取得控制权方</w:t>
      </w:r>
      <w:r>
        <w:rPr>
          <w:rFonts w:hint="default" w:ascii="Times New Roman" w:hAnsi="Times New Roman" w:eastAsia="仿宋_GB2312" w:cs="Times New Roman"/>
          <w:b w:val="0"/>
          <w:bCs w:val="0"/>
          <w:sz w:val="32"/>
          <w:lang w:val="en-US" w:eastAsia="zh-CN"/>
        </w:rPr>
        <w:t>：</w:t>
      </w:r>
      <w:r>
        <w:rPr>
          <w:rFonts w:hint="default" w:ascii="Times New Roman" w:hAnsi="Times New Roman" w:eastAsia="仿宋_GB2312" w:cs="Times New Roman"/>
          <w:b/>
          <w:bCs/>
          <w:sz w:val="32"/>
          <w:lang w:val="en-US" w:eastAsia="zh-CN"/>
        </w:rPr>
        <w:t>中山乐兴</w:t>
      </w:r>
      <w:r>
        <w:rPr>
          <w:rFonts w:hint="eastAsia" w:ascii="Times New Roman" w:hAnsi="Times New Roman" w:eastAsia="仿宋_GB2312" w:cs="Times New Roman"/>
          <w:b w:val="0"/>
          <w:bCs w:val="0"/>
          <w:sz w:val="32"/>
          <w:lang w:val="en-US" w:eastAsia="zh-CN"/>
        </w:rPr>
        <w:t>。</w:t>
      </w:r>
      <w:r>
        <w:rPr>
          <w:rFonts w:hint="default" w:ascii="Times New Roman" w:hAnsi="Times New Roman" w:eastAsia="仿宋_GB2312" w:cs="Times New Roman"/>
          <w:sz w:val="32"/>
          <w:lang w:val="en-US" w:eastAsia="zh-CN"/>
        </w:rPr>
        <w:t>2017年5月在广东省中山市注册成立，最终控制人为自然人许培峰，主营业务为企业管理咨询等。中山乐兴</w:t>
      </w:r>
      <w:r>
        <w:rPr>
          <w:rFonts w:hint="default" w:ascii="Times New Roman" w:hAnsi="Times New Roman" w:eastAsia="仿宋_GB2312" w:cs="Times New Roman"/>
          <w:kern w:val="2"/>
          <w:sz w:val="32"/>
          <w:szCs w:val="32"/>
          <w:lang w:val="en-US" w:eastAsia="zh-CN" w:bidi="ar-SA"/>
        </w:rPr>
        <w:t>2018年全球营业额为</w:t>
      </w:r>
      <w:r>
        <w:rPr>
          <w:rFonts w:hint="eastAsia" w:ascii="Times New Roman" w:hAnsi="Times New Roman" w:eastAsia="仿宋_GB2312" w:cs="Times New Roman"/>
          <w:kern w:val="2"/>
          <w:sz w:val="32"/>
          <w:szCs w:val="32"/>
          <w:lang w:val="en-US" w:eastAsia="zh-CN" w:bidi="ar-SA"/>
        </w:rPr>
        <w:t>（略）</w:t>
      </w:r>
      <w:r>
        <w:rPr>
          <w:rFonts w:hint="default" w:ascii="Times New Roman" w:hAnsi="Times New Roman" w:eastAsia="仿宋_GB2312" w:cs="Times New Roman"/>
          <w:kern w:val="2"/>
          <w:sz w:val="32"/>
          <w:szCs w:val="32"/>
          <w:lang w:val="en-US" w:eastAsia="zh-CN" w:bidi="ar-SA"/>
        </w:rPr>
        <w:t>人民币（币种下同），中国境内营业额为</w:t>
      </w:r>
      <w:r>
        <w:rPr>
          <w:rFonts w:hint="eastAsia" w:ascii="Times New Roman" w:hAnsi="Times New Roman" w:eastAsia="仿宋_GB2312" w:cs="Times New Roman"/>
          <w:kern w:val="2"/>
          <w:sz w:val="32"/>
          <w:szCs w:val="32"/>
          <w:lang w:val="en-US" w:eastAsia="zh-CN" w:bidi="ar-SA"/>
        </w:rPr>
        <w:t>（略）</w:t>
      </w:r>
      <w:r>
        <w:rPr>
          <w:rFonts w:hint="default" w:ascii="Times New Roman" w:hAnsi="Times New Roman" w:eastAsia="仿宋_GB2312" w:cs="Times New Roman"/>
          <w:kern w:val="2"/>
          <w:sz w:val="32"/>
          <w:szCs w:val="32"/>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628" w:firstLineChars="200"/>
        <w:textAlignment w:val="auto"/>
        <w:outlineLvl w:val="9"/>
        <w:rPr>
          <w:rFonts w:hint="default" w:ascii="Times New Roman" w:hAnsi="Times New Roman" w:cs="Times New Roman"/>
          <w:highlight w:val="yellow"/>
          <w:lang w:val="en-US" w:eastAsia="zh-CN"/>
        </w:rPr>
      </w:pPr>
      <w:r>
        <w:rPr>
          <w:rFonts w:hint="default" w:ascii="Times New Roman" w:hAnsi="Times New Roman" w:eastAsia="仿宋_GB2312" w:cs="Times New Roman"/>
          <w:b/>
          <w:bCs/>
          <w:sz w:val="32"/>
          <w:lang w:val="en-US" w:eastAsia="zh-CN"/>
        </w:rPr>
        <w:t>目标公司：</w:t>
      </w:r>
      <w:r>
        <w:rPr>
          <w:rFonts w:hint="default" w:ascii="Times New Roman" w:hAnsi="Times New Roman" w:eastAsia="仿宋_GB2312" w:cs="Times New Roman"/>
          <w:b/>
          <w:bCs/>
          <w:sz w:val="32"/>
          <w:lang w:eastAsia="zh-CN"/>
        </w:rPr>
        <w:t>深圳索菱</w:t>
      </w:r>
      <w:r>
        <w:rPr>
          <w:rFonts w:hint="eastAsia" w:ascii="Times New Roman" w:hAnsi="Times New Roman" w:eastAsia="仿宋_GB2312" w:cs="Times New Roman"/>
          <w:b w:val="0"/>
          <w:bCs w:val="0"/>
          <w:sz w:val="32"/>
          <w:lang w:eastAsia="zh-CN"/>
        </w:rPr>
        <w:t>。</w:t>
      </w:r>
      <w:r>
        <w:rPr>
          <w:rFonts w:hint="default" w:ascii="Times New Roman" w:hAnsi="Times New Roman" w:eastAsia="仿宋_GB2312" w:cs="Times New Roman"/>
          <w:sz w:val="32"/>
          <w:lang w:eastAsia="zh-CN"/>
        </w:rPr>
        <w:t>1997年10月在广东省深圳市</w:t>
      </w:r>
      <w:r>
        <w:rPr>
          <w:rFonts w:hint="default" w:ascii="Times New Roman" w:hAnsi="Times New Roman" w:eastAsia="仿宋_GB2312" w:cs="Times New Roman"/>
          <w:sz w:val="32"/>
          <w:lang w:val="en-US" w:eastAsia="zh-CN"/>
        </w:rPr>
        <w:t>注册成立</w:t>
      </w:r>
      <w:r>
        <w:rPr>
          <w:rFonts w:hint="default" w:ascii="Times New Roman" w:hAnsi="Times New Roman" w:eastAsia="仿宋_GB2312" w:cs="Times New Roman"/>
          <w:sz w:val="32"/>
          <w:lang w:eastAsia="zh-CN"/>
        </w:rPr>
        <w:t>，</w:t>
      </w:r>
      <w:r>
        <w:rPr>
          <w:rFonts w:hint="eastAsia" w:ascii="Times New Roman" w:hAnsi="Times New Roman" w:eastAsia="仿宋_GB2312" w:cs="Times New Roman"/>
          <w:sz w:val="32"/>
          <w:lang w:eastAsia="zh-CN"/>
        </w:rPr>
        <w:t>原</w:t>
      </w:r>
      <w:r>
        <w:rPr>
          <w:rFonts w:hint="default" w:ascii="Times New Roman" w:hAnsi="Times New Roman" w:eastAsia="仿宋_GB2312" w:cs="Times New Roman"/>
          <w:sz w:val="32"/>
          <w:lang w:val="en-US" w:eastAsia="zh-CN"/>
        </w:rPr>
        <w:t>最终控制人为自然人</w:t>
      </w:r>
      <w:r>
        <w:rPr>
          <w:rFonts w:hint="default" w:ascii="Times New Roman" w:hAnsi="Times New Roman" w:eastAsia="仿宋_GB2312" w:cs="Times New Roman"/>
          <w:sz w:val="32"/>
          <w:lang w:eastAsia="zh-CN"/>
        </w:rPr>
        <w:t>肖行亦，2015年6月在深圳证券交易所上市，</w:t>
      </w:r>
      <w:r>
        <w:rPr>
          <w:rFonts w:hint="default" w:ascii="Times New Roman" w:hAnsi="Times New Roman" w:eastAsia="仿宋_GB2312" w:cs="Times New Roman"/>
          <w:sz w:val="32"/>
          <w:lang w:val="en-US" w:eastAsia="zh-CN"/>
        </w:rPr>
        <w:t>主营业务包括车载信息娱乐系统以及车联网解决方案等。</w:t>
      </w:r>
      <w:r>
        <w:rPr>
          <w:rFonts w:hint="default" w:ascii="Times New Roman" w:hAnsi="Times New Roman" w:eastAsia="仿宋_GB2312" w:cs="Times New Roman"/>
          <w:kern w:val="2"/>
          <w:sz w:val="32"/>
          <w:szCs w:val="32"/>
          <w:highlight w:val="none"/>
          <w:lang w:val="en-US" w:eastAsia="zh-CN" w:bidi="ar-SA"/>
        </w:rPr>
        <w:t>深圳索菱2018年全球营业额为</w:t>
      </w:r>
      <w:r>
        <w:rPr>
          <w:rFonts w:hint="eastAsia" w:ascii="Times New Roman" w:hAnsi="Times New Roman" w:eastAsia="仿宋_GB2312" w:cs="Times New Roman"/>
          <w:kern w:val="2"/>
          <w:sz w:val="32"/>
          <w:szCs w:val="32"/>
          <w:lang w:val="en-US" w:eastAsia="zh-CN" w:bidi="ar-SA"/>
        </w:rPr>
        <w:t>（略）</w:t>
      </w:r>
      <w:r>
        <w:rPr>
          <w:rFonts w:hint="default" w:ascii="Times New Roman" w:hAnsi="Times New Roman" w:eastAsia="仿宋_GB2312" w:cs="Times New Roman"/>
          <w:kern w:val="2"/>
          <w:sz w:val="32"/>
          <w:szCs w:val="32"/>
          <w:highlight w:val="none"/>
          <w:lang w:val="en-US" w:eastAsia="zh-CN" w:bidi="ar-SA"/>
        </w:rPr>
        <w:t>，中国境内营业额为</w:t>
      </w:r>
      <w:r>
        <w:rPr>
          <w:rFonts w:hint="eastAsia" w:ascii="Times New Roman" w:hAnsi="Times New Roman" w:eastAsia="仿宋_GB2312" w:cs="Times New Roman"/>
          <w:kern w:val="2"/>
          <w:sz w:val="32"/>
          <w:szCs w:val="32"/>
          <w:lang w:val="en-US" w:eastAsia="zh-CN" w:bidi="ar-SA"/>
        </w:rPr>
        <w:t>（略）</w:t>
      </w:r>
      <w:r>
        <w:rPr>
          <w:rFonts w:hint="default" w:ascii="Times New Roman" w:hAnsi="Times New Roman" w:eastAsia="仿宋_GB2312" w:cs="Times New Roman"/>
          <w:kern w:val="2"/>
          <w:sz w:val="32"/>
          <w:szCs w:val="32"/>
          <w:highlight w:val="none"/>
          <w:lang w:val="en-US" w:eastAsia="zh-CN" w:bidi="ar-SA"/>
        </w:rPr>
        <w:t>。</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ascii="楷体_GB2312" w:eastAsia="楷体_GB2312"/>
          <w:kern w:val="2"/>
          <w:sz w:val="32"/>
          <w:szCs w:val="32"/>
        </w:rPr>
      </w:pPr>
      <w:r>
        <w:rPr>
          <w:rFonts w:hint="eastAsia" w:ascii="楷体_GB2312" w:eastAsia="楷体_GB2312"/>
          <w:kern w:val="2"/>
          <w:sz w:val="32"/>
          <w:szCs w:val="32"/>
        </w:rPr>
        <w:t>（二）交易概况。</w:t>
      </w:r>
    </w:p>
    <w:p>
      <w:pPr>
        <w:keepNext w:val="0"/>
        <w:keepLines w:val="0"/>
        <w:pageBreakBefore w:val="0"/>
        <w:widowControl w:val="0"/>
        <w:kinsoku/>
        <w:wordWrap/>
        <w:overflowPunct/>
        <w:topLinePunct w:val="0"/>
        <w:bidi w:val="0"/>
        <w:snapToGrid/>
        <w:spacing w:line="600" w:lineRule="exact"/>
        <w:ind w:left="0" w:leftChars="0" w:firstLine="628" w:firstLineChars="200"/>
        <w:textAlignment w:val="auto"/>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2018年8月10日，中山乐兴与</w:t>
      </w:r>
      <w:r>
        <w:rPr>
          <w:rFonts w:hint="default" w:ascii="Times New Roman" w:hAnsi="Times New Roman" w:eastAsia="仿宋_GB2312" w:cs="Times New Roman"/>
          <w:sz w:val="32"/>
          <w:lang w:eastAsia="zh-CN"/>
        </w:rPr>
        <w:t>深圳索菱原控股股东肖行亦签署《股份转让协议》，收购深圳索菱</w:t>
      </w:r>
      <w:r>
        <w:rPr>
          <w:rFonts w:hint="default" w:ascii="Times New Roman" w:hAnsi="Times New Roman" w:eastAsia="仿宋_GB2312" w:cs="Times New Roman"/>
          <w:sz w:val="32"/>
          <w:lang w:val="en-US" w:eastAsia="zh-CN"/>
        </w:rPr>
        <w:t>11.33%股权，成为深圳索菱第二大股东</w:t>
      </w:r>
      <w:r>
        <w:rPr>
          <w:rFonts w:hint="eastAsia" w:ascii="Times New Roman" w:hAnsi="Times New Roman" w:eastAsia="仿宋_GB2312" w:cs="Times New Roman"/>
          <w:sz w:val="32"/>
          <w:lang w:val="en-US" w:eastAsia="zh-CN"/>
        </w:rPr>
        <w:t>。</w:t>
      </w:r>
      <w:r>
        <w:rPr>
          <w:rFonts w:hint="default" w:ascii="Times New Roman" w:hAnsi="Times New Roman" w:eastAsia="仿宋_GB2312" w:cs="Times New Roman"/>
          <w:sz w:val="32"/>
          <w:lang w:val="en-US" w:eastAsia="zh-CN"/>
        </w:rPr>
        <w:t>8月31日</w:t>
      </w:r>
      <w:r>
        <w:rPr>
          <w:rFonts w:hint="eastAsia" w:ascii="Times New Roman" w:hAnsi="Times New Roman" w:eastAsia="仿宋_GB2312" w:cs="Times New Roman"/>
          <w:sz w:val="32"/>
          <w:lang w:val="en-US" w:eastAsia="zh-CN"/>
        </w:rPr>
        <w:t>，</w:t>
      </w:r>
      <w:r>
        <w:rPr>
          <w:rFonts w:hint="default" w:ascii="Times New Roman" w:hAnsi="Times New Roman" w:eastAsia="仿宋_GB2312" w:cs="Times New Roman"/>
          <w:sz w:val="32"/>
          <w:lang w:val="en-US" w:eastAsia="zh-CN"/>
        </w:rPr>
        <w:t>完成</w:t>
      </w:r>
      <w:r>
        <w:rPr>
          <w:rFonts w:hint="eastAsia" w:ascii="Times New Roman" w:hAnsi="Times New Roman" w:eastAsia="仿宋_GB2312" w:cs="Times New Roman"/>
          <w:sz w:val="32"/>
          <w:lang w:val="en-US" w:eastAsia="zh-CN"/>
        </w:rPr>
        <w:t>股权</w:t>
      </w:r>
      <w:r>
        <w:rPr>
          <w:rFonts w:hint="default" w:ascii="Times New Roman" w:hAnsi="Times New Roman" w:eastAsia="仿宋_GB2312" w:cs="Times New Roman"/>
          <w:sz w:val="32"/>
          <w:lang w:val="en-US" w:eastAsia="zh-CN"/>
        </w:rPr>
        <w:t>过户登记。</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2019年12月25日，因肖行亦无法偿还中山乐兴借款，中山乐兴与</w:t>
      </w:r>
      <w:r>
        <w:rPr>
          <w:rFonts w:hint="default" w:ascii="Times New Roman" w:hAnsi="Times New Roman" w:eastAsia="仿宋_GB2312" w:cs="Times New Roman"/>
          <w:sz w:val="32"/>
          <w:lang w:eastAsia="zh-CN"/>
        </w:rPr>
        <w:t>肖行亦签署《控制权变更框架协议》，约定肖行亦及其一致行动人放弃所持深圳索菱</w:t>
      </w:r>
      <w:r>
        <w:rPr>
          <w:rFonts w:hint="default" w:ascii="Times New Roman" w:hAnsi="Times New Roman" w:eastAsia="仿宋_GB2312" w:cs="Times New Roman"/>
          <w:sz w:val="32"/>
          <w:lang w:val="en-US" w:eastAsia="zh-CN"/>
        </w:rPr>
        <w:t>34.73%股权对应的表决权，深圳索菱董事会、监事会及高级管理人员改组以实现中山乐兴对深圳索菱的控制。中山乐兴及其一致行动人持有深圳索菱12.18%股份，占全部有表决权股份的18.66%，成为单一表决权最大的股东，且不存在其他单一持有表决权股份数量超过5%的股东。同日，深圳索菱完成董事会、监事会聘任和高管聘任事项，深圳索菱董事会</w:t>
      </w:r>
      <w:r>
        <w:rPr>
          <w:rFonts w:hint="eastAsia" w:ascii="Times New Roman" w:hAnsi="Times New Roman" w:eastAsia="仿宋_GB2312" w:cs="Times New Roman"/>
          <w:sz w:val="32"/>
          <w:lang w:val="en-US" w:eastAsia="zh-CN"/>
        </w:rPr>
        <w:t>共</w:t>
      </w:r>
      <w:r>
        <w:rPr>
          <w:rFonts w:hint="default" w:ascii="Times New Roman" w:hAnsi="Times New Roman" w:eastAsia="仿宋_GB2312" w:cs="Times New Roman"/>
          <w:sz w:val="32"/>
          <w:lang w:val="en-US" w:eastAsia="zh-CN"/>
        </w:rPr>
        <w:t>5名</w:t>
      </w:r>
      <w:r>
        <w:rPr>
          <w:rFonts w:hint="eastAsia" w:ascii="Times New Roman" w:hAnsi="Times New Roman" w:eastAsia="仿宋_GB2312" w:cs="Times New Roman"/>
          <w:sz w:val="32"/>
          <w:lang w:val="en-US" w:eastAsia="zh-CN"/>
        </w:rPr>
        <w:t>董事</w:t>
      </w:r>
      <w:r>
        <w:rPr>
          <w:rFonts w:hint="default" w:ascii="Times New Roman" w:hAnsi="Times New Roman" w:eastAsia="仿宋_GB2312" w:cs="Times New Roman"/>
          <w:sz w:val="32"/>
          <w:lang w:val="en-US" w:eastAsia="zh-CN"/>
        </w:rPr>
        <w:t>，中山乐兴提名3名董事（含董事长）、1名监事并委派财务总监。</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ascii="黑体" w:hAnsi="黑体" w:eastAsia="黑体"/>
          <w:kern w:val="2"/>
          <w:sz w:val="32"/>
          <w:szCs w:val="32"/>
        </w:rPr>
      </w:pPr>
      <w:r>
        <w:rPr>
          <w:rFonts w:hint="eastAsia" w:ascii="黑体" w:hAnsi="黑体" w:eastAsia="黑体"/>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ascii="楷体_GB2312" w:eastAsia="楷体_GB2312"/>
          <w:kern w:val="2"/>
          <w:sz w:val="32"/>
          <w:szCs w:val="32"/>
        </w:rPr>
      </w:pPr>
      <w:r>
        <w:rPr>
          <w:rFonts w:hint="eastAsia" w:ascii="楷体_GB2312" w:eastAsia="楷体_GB2312"/>
          <w:kern w:val="2"/>
          <w:sz w:val="32"/>
          <w:szCs w:val="32"/>
        </w:rPr>
        <w:t>（一）本案构成未依法申报违法实施的经营者集中。</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r>
        <w:rPr>
          <w:rFonts w:hint="default" w:ascii="Times New Roman" w:hAnsi="Times New Roman" w:eastAsia="仿宋_GB2312" w:cs="Times New Roman"/>
          <w:b w:val="0"/>
          <w:bCs w:val="0"/>
          <w:sz w:val="32"/>
          <w:lang w:eastAsia="zh-CN"/>
        </w:rPr>
        <w:t>中山乐兴</w:t>
      </w:r>
      <w:r>
        <w:rPr>
          <w:rFonts w:hint="eastAsia" w:ascii="Times New Roman" w:hAnsi="Times New Roman" w:eastAsia="仿宋_GB2312" w:cs="Times New Roman"/>
          <w:b w:val="0"/>
          <w:bCs w:val="0"/>
          <w:sz w:val="32"/>
          <w:lang w:eastAsia="zh-CN"/>
        </w:rPr>
        <w:t>与</w:t>
      </w:r>
      <w:r>
        <w:rPr>
          <w:rFonts w:hint="default" w:ascii="Times New Roman" w:hAnsi="Times New Roman" w:eastAsia="仿宋_GB2312" w:cs="Times New Roman"/>
          <w:b w:val="0"/>
          <w:bCs w:val="0"/>
          <w:sz w:val="32"/>
          <w:lang w:eastAsia="zh-CN"/>
        </w:rPr>
        <w:t>深圳索菱原控股股东肖行亦</w:t>
      </w:r>
      <w:r>
        <w:rPr>
          <w:rFonts w:hint="eastAsia" w:ascii="Times New Roman" w:hAnsi="Times New Roman" w:eastAsia="仿宋_GB2312" w:cs="Times New Roman"/>
          <w:b w:val="0"/>
          <w:bCs w:val="0"/>
          <w:sz w:val="32"/>
          <w:lang w:eastAsia="zh-CN"/>
        </w:rPr>
        <w:t>于</w:t>
      </w:r>
      <w:r>
        <w:rPr>
          <w:rFonts w:hint="default" w:ascii="Times New Roman" w:hAnsi="Times New Roman" w:eastAsia="仿宋_GB2312" w:cs="Times New Roman"/>
          <w:sz w:val="32"/>
          <w:lang w:val="en-US" w:eastAsia="zh-CN"/>
        </w:rPr>
        <w:t>2019年12月25日</w:t>
      </w:r>
      <w:r>
        <w:rPr>
          <w:rFonts w:hint="default" w:ascii="Times New Roman" w:hAnsi="Times New Roman" w:eastAsia="仿宋_GB2312" w:cs="Times New Roman"/>
          <w:sz w:val="32"/>
          <w:lang w:eastAsia="zh-CN"/>
        </w:rPr>
        <w:t>签署《控制权变更框架协议》</w:t>
      </w:r>
      <w:r>
        <w:rPr>
          <w:rFonts w:hint="eastAsia" w:ascii="Times New Roman" w:hAnsi="Times New Roman" w:eastAsia="仿宋_GB2312" w:cs="Times New Roman"/>
          <w:sz w:val="32"/>
          <w:lang w:eastAsia="zh-CN"/>
        </w:rPr>
        <w:t>，</w:t>
      </w:r>
      <w:r>
        <w:rPr>
          <w:rFonts w:hint="default" w:ascii="Times New Roman" w:hAnsi="Times New Roman" w:eastAsia="仿宋_GB2312" w:cs="Times New Roman"/>
          <w:b w:val="0"/>
          <w:bCs w:val="0"/>
          <w:sz w:val="32"/>
          <w:lang w:eastAsia="zh-CN"/>
        </w:rPr>
        <w:t>肖行亦放弃表决权，中山乐兴实际</w:t>
      </w:r>
      <w:r>
        <w:rPr>
          <w:rFonts w:hint="default" w:ascii="Times New Roman" w:hAnsi="Times New Roman" w:eastAsia="仿宋_GB2312" w:cs="Times New Roman"/>
          <w:sz w:val="32"/>
          <w:lang w:val="en-US" w:eastAsia="zh-CN"/>
        </w:rPr>
        <w:t>成为单一表决权最大的股东，</w:t>
      </w:r>
      <w:r>
        <w:rPr>
          <w:rFonts w:hint="eastAsia" w:ascii="Times New Roman" w:hAnsi="Times New Roman" w:eastAsia="仿宋_GB2312" w:cs="Times New Roman"/>
          <w:b w:val="0"/>
          <w:bCs w:val="0"/>
          <w:sz w:val="32"/>
          <w:lang w:eastAsia="zh-CN"/>
        </w:rPr>
        <w:t>并</w:t>
      </w:r>
      <w:r>
        <w:rPr>
          <w:rFonts w:hint="default" w:ascii="Times New Roman" w:hAnsi="Times New Roman" w:eastAsia="仿宋_GB2312" w:cs="Times New Roman"/>
          <w:b w:val="0"/>
          <w:bCs w:val="0"/>
          <w:sz w:val="32"/>
          <w:lang w:eastAsia="zh-CN"/>
        </w:rPr>
        <w:t>委派</w:t>
      </w:r>
      <w:r>
        <w:rPr>
          <w:rFonts w:hint="default" w:ascii="Times New Roman" w:hAnsi="Times New Roman" w:eastAsia="仿宋_GB2312" w:cs="Times New Roman"/>
          <w:b w:val="0"/>
          <w:bCs w:val="0"/>
          <w:sz w:val="32"/>
          <w:lang w:val="en-US" w:eastAsia="zh-CN"/>
        </w:rPr>
        <w:t>董事</w:t>
      </w:r>
      <w:r>
        <w:rPr>
          <w:rFonts w:hint="eastAsia" w:ascii="Times New Roman" w:hAnsi="Times New Roman" w:eastAsia="仿宋_GB2312" w:cs="Times New Roman"/>
          <w:b w:val="0"/>
          <w:bCs w:val="0"/>
          <w:sz w:val="32"/>
          <w:lang w:val="en-US" w:eastAsia="zh-CN"/>
        </w:rPr>
        <w:t>、高管等，</w:t>
      </w:r>
      <w:r>
        <w:rPr>
          <w:rFonts w:hint="eastAsia" w:ascii="Times New Roman" w:hAnsi="Times New Roman" w:eastAsia="仿宋_GB2312" w:cs="Times New Roman"/>
          <w:b w:val="0"/>
          <w:bCs w:val="0"/>
          <w:kern w:val="2"/>
          <w:sz w:val="32"/>
          <w:szCs w:val="32"/>
          <w:lang w:eastAsia="zh-CN"/>
        </w:rPr>
        <w:t>属于</w:t>
      </w:r>
      <w:r>
        <w:rPr>
          <w:rFonts w:hint="default" w:ascii="Times New Roman" w:hAnsi="Times New Roman" w:eastAsia="仿宋_GB2312" w:cs="Times New Roman"/>
          <w:b w:val="0"/>
          <w:bCs w:val="0"/>
          <w:kern w:val="2"/>
          <w:sz w:val="32"/>
          <w:szCs w:val="32"/>
        </w:rPr>
        <w:t>《反垄断法》第</w:t>
      </w:r>
      <w:r>
        <w:rPr>
          <w:rFonts w:hint="default" w:ascii="Times New Roman" w:hAnsi="Times New Roman" w:eastAsia="仿宋_GB2312" w:cs="Times New Roman"/>
          <w:b w:val="0"/>
          <w:bCs w:val="0"/>
          <w:kern w:val="2"/>
          <w:sz w:val="32"/>
          <w:szCs w:val="32"/>
          <w:lang w:eastAsia="zh-CN"/>
        </w:rPr>
        <w:t>二十</w:t>
      </w:r>
      <w:r>
        <w:rPr>
          <w:rFonts w:hint="default" w:ascii="Times New Roman" w:hAnsi="Times New Roman" w:eastAsia="仿宋_GB2312" w:cs="Times New Roman"/>
          <w:b w:val="0"/>
          <w:bCs w:val="0"/>
          <w:kern w:val="2"/>
          <w:sz w:val="32"/>
          <w:szCs w:val="32"/>
        </w:rPr>
        <w:t>条</w:t>
      </w:r>
      <w:r>
        <w:rPr>
          <w:rFonts w:hint="default" w:ascii="Times New Roman" w:hAnsi="Times New Roman" w:eastAsia="仿宋_GB2312" w:cs="Times New Roman"/>
          <w:b w:val="0"/>
          <w:bCs w:val="0"/>
          <w:kern w:val="2"/>
          <w:sz w:val="32"/>
          <w:szCs w:val="32"/>
          <w:lang w:eastAsia="zh-CN"/>
        </w:rPr>
        <w:t>第三项“经营者</w:t>
      </w:r>
      <w:r>
        <w:rPr>
          <w:rFonts w:hint="default" w:ascii="Times New Roman" w:hAnsi="Times New Roman" w:eastAsia="仿宋_GB2312" w:cs="Times New Roman"/>
          <w:b w:val="0"/>
          <w:bCs w:val="0"/>
          <w:kern w:val="2"/>
          <w:sz w:val="32"/>
          <w:szCs w:val="32"/>
        </w:rPr>
        <w:t>通过合同等方式取得</w:t>
      </w:r>
      <w:r>
        <w:rPr>
          <w:rFonts w:hint="default" w:ascii="Times New Roman" w:hAnsi="Times New Roman" w:eastAsia="仿宋_GB2312" w:cs="Times New Roman"/>
          <w:b w:val="0"/>
          <w:bCs w:val="0"/>
          <w:kern w:val="2"/>
          <w:sz w:val="32"/>
          <w:szCs w:val="32"/>
          <w:lang w:eastAsia="zh-CN"/>
        </w:rPr>
        <w:t>对其他经营者的</w:t>
      </w:r>
      <w:r>
        <w:rPr>
          <w:rFonts w:hint="default" w:ascii="Times New Roman" w:hAnsi="Times New Roman" w:eastAsia="仿宋_GB2312" w:cs="Times New Roman"/>
          <w:b w:val="0"/>
          <w:bCs w:val="0"/>
          <w:kern w:val="2"/>
          <w:sz w:val="32"/>
          <w:szCs w:val="32"/>
        </w:rPr>
        <w:t>控制权或者能够施加决定性影响</w:t>
      </w:r>
      <w:r>
        <w:rPr>
          <w:rFonts w:hint="default" w:ascii="Times New Roman" w:hAnsi="Times New Roman" w:eastAsia="仿宋_GB2312" w:cs="Times New Roman"/>
          <w:b w:val="0"/>
          <w:bCs w:val="0"/>
          <w:kern w:val="2"/>
          <w:sz w:val="32"/>
          <w:szCs w:val="32"/>
          <w:lang w:eastAsia="zh-CN"/>
        </w:rPr>
        <w:t>”，</w:t>
      </w:r>
      <w:r>
        <w:rPr>
          <w:rFonts w:hint="default" w:ascii="Times New Roman" w:hAnsi="Times New Roman" w:eastAsia="仿宋_GB2312" w:cs="Times New Roman"/>
          <w:b w:val="0"/>
          <w:bCs w:val="0"/>
          <w:kern w:val="2"/>
          <w:sz w:val="32"/>
          <w:szCs w:val="32"/>
        </w:rPr>
        <w:t>构成经营者集中</w:t>
      </w:r>
      <w:r>
        <w:rPr>
          <w:rFonts w:hint="eastAsia" w:ascii="Times New Roman" w:hAnsi="Times New Roman" w:eastAsia="仿宋_GB2312" w:cs="Times New Roman"/>
          <w:b w:val="0"/>
          <w:bCs w:val="0"/>
          <w:kern w:val="2"/>
          <w:sz w:val="32"/>
          <w:szCs w:val="32"/>
          <w:lang w:eastAsia="zh-CN"/>
        </w:rPr>
        <w:t>。</w:t>
      </w:r>
    </w:p>
    <w:p>
      <w:pPr>
        <w:keepNext w:val="0"/>
        <w:keepLines w:val="0"/>
        <w:pageBreakBefore w:val="0"/>
        <w:widowControl w:val="0"/>
        <w:kinsoku/>
        <w:wordWrap/>
        <w:topLinePunct w:val="0"/>
        <w:bidi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SA"/>
        </w:rPr>
        <w:t>中山乐兴2018年全球营业额为</w:t>
      </w:r>
      <w:r>
        <w:rPr>
          <w:rFonts w:hint="eastAsia" w:ascii="Times New Roman" w:hAnsi="Times New Roman" w:eastAsia="仿宋_GB2312" w:cs="Times New Roman"/>
          <w:kern w:val="2"/>
          <w:sz w:val="32"/>
          <w:szCs w:val="32"/>
          <w:lang w:val="en-US" w:eastAsia="zh-CN" w:bidi="ar-SA"/>
        </w:rPr>
        <w:t>（略）</w:t>
      </w:r>
      <w:r>
        <w:rPr>
          <w:rFonts w:hint="default" w:ascii="Times New Roman" w:hAnsi="Times New Roman" w:eastAsia="仿宋_GB2312" w:cs="Times New Roman"/>
          <w:kern w:val="2"/>
          <w:sz w:val="32"/>
          <w:szCs w:val="32"/>
          <w:lang w:val="en-US" w:eastAsia="zh-CN" w:bidi="ar-SA"/>
        </w:rPr>
        <w:t>，中国境内营业额为</w:t>
      </w:r>
      <w:r>
        <w:rPr>
          <w:rFonts w:hint="eastAsia" w:ascii="Times New Roman" w:hAnsi="Times New Roman" w:eastAsia="仿宋_GB2312" w:cs="Times New Roman"/>
          <w:kern w:val="2"/>
          <w:sz w:val="32"/>
          <w:szCs w:val="32"/>
          <w:lang w:val="en-US" w:eastAsia="zh-CN" w:bidi="ar-SA"/>
        </w:rPr>
        <w:t>（略）</w:t>
      </w:r>
      <w:r>
        <w:rPr>
          <w:rFonts w:hint="default" w:ascii="Times New Roman" w:hAnsi="Times New Roman" w:eastAsia="仿宋_GB2312" w:cs="Times New Roman"/>
          <w:kern w:val="2"/>
          <w:sz w:val="32"/>
          <w:szCs w:val="32"/>
          <w:lang w:val="en-US" w:eastAsia="zh-CN" w:bidi="ar-SA"/>
        </w:rPr>
        <w:t>；深圳索菱</w:t>
      </w:r>
      <w:r>
        <w:rPr>
          <w:rFonts w:hint="default" w:ascii="Times New Roman" w:hAnsi="Times New Roman" w:eastAsia="仿宋_GB2312" w:cs="Times New Roman"/>
          <w:kern w:val="2"/>
          <w:sz w:val="32"/>
          <w:szCs w:val="32"/>
          <w:highlight w:val="none"/>
          <w:lang w:val="en-US" w:eastAsia="zh-CN" w:bidi="ar-SA"/>
        </w:rPr>
        <w:t>2018年全球营业额为</w:t>
      </w:r>
      <w:r>
        <w:rPr>
          <w:rFonts w:hint="eastAsia" w:ascii="Times New Roman" w:hAnsi="Times New Roman" w:eastAsia="仿宋_GB2312" w:cs="Times New Roman"/>
          <w:kern w:val="2"/>
          <w:sz w:val="32"/>
          <w:szCs w:val="32"/>
          <w:lang w:val="en-US" w:eastAsia="zh-CN" w:bidi="ar-SA"/>
        </w:rPr>
        <w:t>（略）</w:t>
      </w:r>
      <w:r>
        <w:rPr>
          <w:rFonts w:hint="default" w:ascii="Times New Roman" w:hAnsi="Times New Roman" w:eastAsia="仿宋_GB2312" w:cs="Times New Roman"/>
          <w:kern w:val="2"/>
          <w:sz w:val="32"/>
          <w:szCs w:val="32"/>
          <w:highlight w:val="none"/>
          <w:lang w:val="en-US" w:eastAsia="zh-CN" w:bidi="ar-SA"/>
        </w:rPr>
        <w:t>，中国境内营业额为</w:t>
      </w:r>
      <w:r>
        <w:rPr>
          <w:rFonts w:hint="eastAsia" w:ascii="Times New Roman" w:hAnsi="Times New Roman" w:eastAsia="仿宋_GB2312" w:cs="Times New Roman"/>
          <w:kern w:val="2"/>
          <w:sz w:val="32"/>
          <w:szCs w:val="32"/>
          <w:lang w:val="en-US" w:eastAsia="zh-CN" w:bidi="ar-SA"/>
        </w:rPr>
        <w:t>（略）</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rPr>
        <w:t>达到《国务院关于经营者集中申报标准的规定》第</w:t>
      </w:r>
      <w:r>
        <w:rPr>
          <w:rFonts w:hint="eastAsia" w:ascii="Times New Roman" w:hAnsi="Times New Roman" w:eastAsia="仿宋_GB2312" w:cs="Times New Roman"/>
          <w:kern w:val="2"/>
          <w:sz w:val="32"/>
          <w:szCs w:val="32"/>
          <w:lang w:val="en-US" w:eastAsia="zh-CN"/>
        </w:rPr>
        <w:t>三</w:t>
      </w:r>
      <w:r>
        <w:rPr>
          <w:rFonts w:hint="default" w:ascii="Times New Roman" w:hAnsi="Times New Roman" w:eastAsia="仿宋_GB2312" w:cs="Times New Roman"/>
          <w:kern w:val="2"/>
          <w:sz w:val="32"/>
          <w:szCs w:val="32"/>
        </w:rPr>
        <w:t>条规定的申报标准，属于应当申报的情形。</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w:t>
      </w:r>
      <w:r>
        <w:rPr>
          <w:rFonts w:hint="default" w:ascii="Times New Roman" w:hAnsi="Times New Roman" w:eastAsia="仿宋_GB2312" w:cs="Times New Roman"/>
          <w:kern w:val="2"/>
          <w:sz w:val="32"/>
          <w:szCs w:val="24"/>
        </w:rPr>
        <w:t>20</w:t>
      </w:r>
      <w:r>
        <w:rPr>
          <w:rFonts w:hint="default" w:ascii="Times New Roman" w:hAnsi="Times New Roman" w:eastAsia="仿宋_GB2312" w:cs="Times New Roman"/>
          <w:kern w:val="2"/>
          <w:sz w:val="32"/>
          <w:szCs w:val="24"/>
          <w:lang w:val="en-US" w:eastAsia="zh-CN"/>
        </w:rPr>
        <w:t>19</w:t>
      </w:r>
      <w:r>
        <w:rPr>
          <w:rFonts w:hint="default" w:ascii="Times New Roman" w:hAnsi="Times New Roman" w:eastAsia="仿宋_GB2312" w:cs="Times New Roman"/>
          <w:kern w:val="2"/>
          <w:sz w:val="32"/>
          <w:szCs w:val="24"/>
        </w:rPr>
        <w:t>年</w:t>
      </w:r>
      <w:r>
        <w:rPr>
          <w:rFonts w:hint="default" w:ascii="Times New Roman" w:hAnsi="Times New Roman" w:eastAsia="仿宋_GB2312" w:cs="Times New Roman"/>
          <w:kern w:val="2"/>
          <w:sz w:val="32"/>
          <w:szCs w:val="24"/>
          <w:lang w:val="en-US" w:eastAsia="zh-CN"/>
        </w:rPr>
        <w:t>12</w:t>
      </w:r>
      <w:r>
        <w:rPr>
          <w:rFonts w:hint="default" w:ascii="Times New Roman" w:hAnsi="Times New Roman" w:eastAsia="仿宋_GB2312" w:cs="Times New Roman"/>
          <w:kern w:val="2"/>
          <w:sz w:val="32"/>
          <w:szCs w:val="24"/>
        </w:rPr>
        <w:t>月</w:t>
      </w:r>
      <w:r>
        <w:rPr>
          <w:rFonts w:hint="default" w:ascii="Times New Roman" w:hAnsi="Times New Roman" w:eastAsia="仿宋_GB2312" w:cs="Times New Roman"/>
          <w:kern w:val="2"/>
          <w:sz w:val="32"/>
          <w:szCs w:val="24"/>
          <w:lang w:val="en-US" w:eastAsia="zh-CN"/>
        </w:rPr>
        <w:t>25</w:t>
      </w:r>
      <w:r>
        <w:rPr>
          <w:rFonts w:hint="default" w:ascii="Times New Roman" w:hAnsi="Times New Roman" w:eastAsia="仿宋_GB2312" w:cs="Times New Roman"/>
          <w:kern w:val="2"/>
          <w:sz w:val="32"/>
          <w:szCs w:val="24"/>
        </w:rPr>
        <w:t>日</w:t>
      </w:r>
      <w:r>
        <w:rPr>
          <w:rFonts w:hint="default" w:ascii="Times New Roman" w:hAnsi="Times New Roman" w:eastAsia="仿宋_GB2312" w:cs="Times New Roman"/>
          <w:kern w:val="2"/>
          <w:sz w:val="32"/>
          <w:szCs w:val="24"/>
          <w:lang w:eastAsia="zh-CN"/>
        </w:rPr>
        <w:t>，深圳索菱完成</w:t>
      </w:r>
      <w:r>
        <w:rPr>
          <w:rFonts w:hint="eastAsia" w:ascii="Times New Roman" w:hAnsi="Times New Roman" w:eastAsia="仿宋_GB2312" w:cs="Times New Roman"/>
          <w:kern w:val="2"/>
          <w:sz w:val="32"/>
          <w:szCs w:val="24"/>
          <w:lang w:eastAsia="zh-CN"/>
        </w:rPr>
        <w:t>控制权变更</w:t>
      </w:r>
      <w:r>
        <w:rPr>
          <w:rFonts w:hint="default" w:ascii="Times New Roman" w:hAnsi="Times New Roman" w:eastAsia="仿宋_GB2312" w:cs="Times New Roman"/>
          <w:kern w:val="2"/>
          <w:sz w:val="32"/>
          <w:szCs w:val="24"/>
          <w:lang w:eastAsia="zh-CN"/>
        </w:rPr>
        <w:t>安排和董监高改选</w:t>
      </w:r>
      <w:r>
        <w:rPr>
          <w:rFonts w:hint="default" w:ascii="Times New Roman" w:hAnsi="Times New Roman" w:eastAsia="仿宋_GB2312" w:cs="Times New Roman"/>
          <w:color w:val="000000"/>
          <w:kern w:val="2"/>
          <w:sz w:val="32"/>
          <w:szCs w:val="32"/>
        </w:rPr>
        <w:t>，</w:t>
      </w:r>
      <w:r>
        <w:rPr>
          <w:rFonts w:hint="default" w:ascii="Times New Roman" w:hAnsi="Times New Roman" w:eastAsia="仿宋_GB2312" w:cs="Times New Roman"/>
          <w:kern w:val="2"/>
          <w:sz w:val="32"/>
          <w:szCs w:val="32"/>
        </w:rPr>
        <w:t>在此之前未向我局申报，违反《反垄断法》第</w:t>
      </w:r>
      <w:r>
        <w:rPr>
          <w:rFonts w:hint="eastAsia" w:ascii="Times New Roman" w:hAnsi="Times New Roman" w:eastAsia="仿宋_GB2312" w:cs="Times New Roman"/>
          <w:kern w:val="2"/>
          <w:sz w:val="32"/>
          <w:szCs w:val="32"/>
          <w:lang w:val="en-US" w:eastAsia="zh-CN"/>
        </w:rPr>
        <w:t>二十一</w:t>
      </w:r>
      <w:r>
        <w:rPr>
          <w:rFonts w:hint="default" w:ascii="Times New Roman" w:hAnsi="Times New Roman" w:eastAsia="仿宋_GB2312" w:cs="Times New Roman"/>
          <w:kern w:val="2"/>
          <w:sz w:val="32"/>
          <w:szCs w:val="32"/>
        </w:rPr>
        <w:t>条，构成未依法申报的经营者集中。</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ascii="楷体_GB2312" w:eastAsia="楷体_GB2312"/>
          <w:kern w:val="2"/>
          <w:sz w:val="32"/>
          <w:szCs w:val="32"/>
        </w:rPr>
      </w:pPr>
      <w:r>
        <w:rPr>
          <w:rFonts w:hint="eastAsia" w:ascii="楷体_GB2312" w:eastAsia="楷体_GB2312"/>
          <w:kern w:val="2"/>
          <w:sz w:val="32"/>
          <w:szCs w:val="32"/>
        </w:rPr>
        <w:t>（二）本案不具有排除、限制竞争的效果。</w:t>
      </w:r>
    </w:p>
    <w:p>
      <w:pPr>
        <w:keepNext w:val="0"/>
        <w:keepLines w:val="0"/>
        <w:pageBreakBefore w:val="0"/>
        <w:widowControl w:val="0"/>
        <w:kinsoku/>
        <w:wordWrap/>
        <w:topLinePunct w:val="0"/>
        <w:bidi w:val="0"/>
        <w:spacing w:line="580" w:lineRule="exact"/>
        <w:ind w:firstLine="628"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本机关就中山乐兴通过合同取得深圳索菱控制权对市场竞争的影响进行了评估，评估认为，该项经营者集中不会产生排除、限制竞争的效果。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ascii="黑体" w:hAnsi="黑体" w:eastAsia="黑体"/>
          <w:kern w:val="2"/>
          <w:sz w:val="32"/>
          <w:szCs w:val="32"/>
        </w:rPr>
      </w:pPr>
      <w:r>
        <w:rPr>
          <w:rFonts w:hint="eastAsia" w:ascii="黑体" w:hAnsi="黑体" w:eastAsia="黑体"/>
          <w:kern w:val="2"/>
          <w:sz w:val="32"/>
          <w:szCs w:val="32"/>
        </w:rPr>
        <w:t>三、行政处罚依据和决定</w:t>
      </w:r>
    </w:p>
    <w:p>
      <w:pPr>
        <w:keepNext w:val="0"/>
        <w:keepLines w:val="0"/>
        <w:pageBreakBefore w:val="0"/>
        <w:widowControl w:val="0"/>
        <w:kinsoku/>
        <w:wordWrap/>
        <w:topLinePunct w:val="0"/>
        <w:bidi w:val="0"/>
        <w:spacing w:line="580"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基于调查情况和评估结论，本机关</w:t>
      </w:r>
      <w:r>
        <w:rPr>
          <w:rFonts w:hint="eastAsia" w:ascii="Times New Roman" w:hAnsi="Times New Roman" w:eastAsia="仿宋_GB2312" w:cs="Times New Roman"/>
          <w:bCs/>
          <w:color w:val="000000"/>
          <w:kern w:val="2"/>
          <w:sz w:val="32"/>
          <w:szCs w:val="32"/>
          <w:lang w:eastAsia="zh-CN"/>
        </w:rPr>
        <w:t>给予</w:t>
      </w:r>
      <w:r>
        <w:rPr>
          <w:rFonts w:hint="eastAsia" w:eastAsia="仿宋_GB2312" w:cs="Times New Roman"/>
          <w:sz w:val="32"/>
          <w:szCs w:val="32"/>
          <w:lang w:eastAsia="zh-CN"/>
        </w:rPr>
        <w:t>中山乐兴</w:t>
      </w:r>
      <w:r>
        <w:rPr>
          <w:rFonts w:hint="eastAsia" w:eastAsia="仿宋_GB2312" w:cs="Times New Roman"/>
          <w:bCs/>
          <w:color w:val="000000"/>
          <w:kern w:val="2"/>
          <w:sz w:val="32"/>
          <w:szCs w:val="32"/>
          <w:lang w:val="en-US" w:eastAsia="zh-CN"/>
        </w:rPr>
        <w:t>3</w:t>
      </w:r>
      <w:r>
        <w:rPr>
          <w:rFonts w:hint="default" w:ascii="Times New Roman" w:hAnsi="Times New Roman" w:eastAsia="仿宋_GB2312" w:cs="Times New Roman"/>
          <w:bCs/>
          <w:color w:val="000000"/>
          <w:kern w:val="2"/>
          <w:sz w:val="32"/>
          <w:szCs w:val="32"/>
        </w:rPr>
        <w:t>0万元人民币</w:t>
      </w:r>
      <w:r>
        <w:rPr>
          <w:rFonts w:hint="eastAsia" w:ascii="Times New Roman" w:hAnsi="Times New Roman" w:eastAsia="仿宋_GB2312" w:cs="Times New Roman"/>
          <w:bCs/>
          <w:color w:val="000000"/>
          <w:kern w:val="2"/>
          <w:sz w:val="32"/>
          <w:szCs w:val="32"/>
          <w:lang w:eastAsia="zh-CN"/>
        </w:rPr>
        <w:t>罚款</w:t>
      </w:r>
      <w:r>
        <w:rPr>
          <w:rFonts w:hint="default" w:ascii="Times New Roman" w:hAnsi="Times New Roman" w:eastAsia="仿宋_GB2312" w:cs="Times New Roman"/>
          <w:bCs/>
          <w:color w:val="000000"/>
          <w:kern w:val="2"/>
          <w:sz w:val="32"/>
          <w:szCs w:val="32"/>
        </w:rPr>
        <w:t>的行政处罚。</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eastAsia="仿宋_GB2312"/>
          <w:kern w:val="2"/>
          <w:sz w:val="32"/>
          <w:szCs w:val="32"/>
          <w:lang w:eastAsia="zh-CN"/>
        </w:rPr>
      </w:pPr>
      <w:r>
        <w:rPr>
          <w:rFonts w:hint="eastAsia" w:eastAsia="仿宋_GB2312"/>
          <w:kern w:val="2"/>
          <w:sz w:val="32"/>
          <w:szCs w:val="32"/>
        </w:rPr>
        <w:t>《行政处罚法》第四十六条规定</w:t>
      </w:r>
      <w:r>
        <w:rPr>
          <w:rFonts w:hint="eastAsia" w:eastAsia="仿宋_GB2312"/>
          <w:kern w:val="2"/>
          <w:sz w:val="32"/>
          <w:szCs w:val="32"/>
          <w:lang w:eastAsia="zh-CN"/>
        </w:rPr>
        <w:t>“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eastAsia="仿宋_GB2312"/>
          <w:kern w:val="2"/>
          <w:sz w:val="32"/>
          <w:szCs w:val="32"/>
        </w:rPr>
      </w:pPr>
      <w:r>
        <w:rPr>
          <w:rFonts w:hint="eastAsia" w:eastAsia="仿宋_GB2312"/>
          <w:kern w:val="2"/>
          <w:sz w:val="32"/>
          <w:szCs w:val="32"/>
        </w:rPr>
        <w:t>当事</w:t>
      </w:r>
      <w:r>
        <w:rPr>
          <w:rFonts w:hint="eastAsia" w:eastAsia="仿宋_GB2312"/>
          <w:kern w:val="2"/>
          <w:sz w:val="32"/>
          <w:szCs w:val="32"/>
          <w:lang w:eastAsia="zh-CN"/>
        </w:rPr>
        <w:t>方</w:t>
      </w:r>
      <w:r>
        <w:rPr>
          <w:rFonts w:hint="eastAsia" w:eastAsia="仿宋_GB2312"/>
          <w:kern w:val="2"/>
          <w:sz w:val="32"/>
          <w:szCs w:val="32"/>
        </w:rPr>
        <w:t>应当自收到本行政处罚决定书之日起十五日内，根据本行政处罚决定书，携缴款码到12家中央财政非税收入收缴代理银行（工、农、中、建、交、中信、光大、招商、邮储、华夏、平安、兴业）任一银行网点或者网上银行交纳罚款。缴款码：</w:t>
      </w:r>
      <w:r>
        <w:rPr>
          <w:rFonts w:hint="eastAsia" w:eastAsia="仿宋_GB2312"/>
          <w:kern w:val="2"/>
          <w:sz w:val="32"/>
          <w:szCs w:val="32"/>
          <w:highlight w:val="none"/>
          <w:lang w:val="en-US" w:eastAsia="zh-CN"/>
        </w:rPr>
        <w:t xml:space="preserve">0000002100081565 </w:t>
      </w:r>
      <w:r>
        <w:rPr>
          <w:rFonts w:hint="eastAsia" w:eastAsia="仿宋_GB2312"/>
          <w:kern w:val="2"/>
          <w:sz w:val="32"/>
          <w:szCs w:val="32"/>
        </w:rPr>
        <w:t>。</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eastAsia="仿宋_GB2312"/>
          <w:kern w:val="2"/>
          <w:sz w:val="32"/>
          <w:szCs w:val="32"/>
        </w:rPr>
      </w:pPr>
      <w:r>
        <w:rPr>
          <w:rFonts w:hint="eastAsia" w:eastAsia="仿宋_GB2312"/>
          <w:kern w:val="2"/>
          <w:sz w:val="32"/>
          <w:szCs w:val="32"/>
        </w:rPr>
        <w:t>当事</w:t>
      </w:r>
      <w:r>
        <w:rPr>
          <w:rFonts w:hint="eastAsia" w:eastAsia="仿宋_GB2312"/>
          <w:kern w:val="2"/>
          <w:sz w:val="32"/>
          <w:szCs w:val="32"/>
          <w:lang w:eastAsia="zh-CN"/>
        </w:rPr>
        <w:t>方</w:t>
      </w:r>
      <w:r>
        <w:rPr>
          <w:rFonts w:hint="eastAsia" w:eastAsia="仿宋_GB2312"/>
          <w:kern w:val="2"/>
          <w:sz w:val="32"/>
          <w:szCs w:val="32"/>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keepNext w:val="0"/>
        <w:keepLines w:val="0"/>
        <w:pageBreakBefore w:val="0"/>
        <w:widowControl w:val="0"/>
        <w:kinsoku/>
        <w:wordWrap/>
        <w:topLinePunct w:val="0"/>
        <w:bidi w:val="0"/>
        <w:snapToGrid w:val="0"/>
        <w:spacing w:line="580" w:lineRule="exact"/>
        <w:ind w:firstLine="5433" w:firstLineChars="1730"/>
        <w:textAlignment w:val="auto"/>
        <w:rPr>
          <w:rFonts w:hint="eastAsia" w:eastAsia="仿宋_GB2312"/>
          <w:kern w:val="2"/>
          <w:sz w:val="32"/>
          <w:szCs w:val="32"/>
        </w:rPr>
      </w:pPr>
      <w:r>
        <w:rPr>
          <w:rFonts w:hint="eastAsia" w:eastAsia="仿宋_GB2312"/>
          <w:kern w:val="2"/>
          <w:sz w:val="32"/>
          <w:szCs w:val="32"/>
        </w:rPr>
        <w:t>市场监管总局</w:t>
      </w:r>
    </w:p>
    <w:p>
      <w:pPr>
        <w:keepNext w:val="0"/>
        <w:keepLines w:val="0"/>
        <w:pageBreakBefore w:val="0"/>
        <w:widowControl w:val="0"/>
        <w:kinsoku/>
        <w:wordWrap/>
        <w:topLinePunct w:val="0"/>
        <w:bidi w:val="0"/>
        <w:snapToGrid w:val="0"/>
        <w:spacing w:line="580" w:lineRule="exact"/>
        <w:ind w:firstLine="5225" w:firstLineChars="1664"/>
        <w:textAlignment w:val="auto"/>
        <w:rPr>
          <w:rFonts w:eastAsia="仿宋_GB2312"/>
          <w:kern w:val="2"/>
          <w:sz w:val="32"/>
          <w:szCs w:val="32"/>
        </w:rPr>
      </w:pPr>
      <w:r>
        <w:rPr>
          <w:rFonts w:hint="eastAsia" w:eastAsia="仿宋_GB2312"/>
          <w:kern w:val="2"/>
          <w:sz w:val="32"/>
          <w:szCs w:val="32"/>
        </w:rPr>
        <w:t>202</w:t>
      </w:r>
      <w:r>
        <w:rPr>
          <w:rFonts w:hint="eastAsia" w:eastAsia="仿宋_GB2312"/>
          <w:kern w:val="2"/>
          <w:sz w:val="32"/>
          <w:szCs w:val="32"/>
          <w:lang w:val="en-US" w:eastAsia="zh-CN"/>
        </w:rPr>
        <w:t>1</w:t>
      </w:r>
      <w:r>
        <w:rPr>
          <w:rFonts w:hint="eastAsia" w:eastAsia="仿宋_GB2312"/>
          <w:kern w:val="2"/>
          <w:sz w:val="32"/>
          <w:szCs w:val="32"/>
        </w:rPr>
        <w:t>年</w:t>
      </w:r>
      <w:r>
        <w:rPr>
          <w:rFonts w:hint="eastAsia" w:eastAsia="仿宋_GB2312"/>
          <w:kern w:val="2"/>
          <w:sz w:val="32"/>
          <w:szCs w:val="32"/>
          <w:lang w:val="en-US" w:eastAsia="zh-CN"/>
        </w:rPr>
        <w:t>2</w:t>
      </w:r>
      <w:r>
        <w:rPr>
          <w:rFonts w:hint="eastAsia" w:eastAsia="仿宋_GB2312"/>
          <w:kern w:val="2"/>
          <w:sz w:val="32"/>
          <w:szCs w:val="32"/>
        </w:rPr>
        <w:t>月</w:t>
      </w:r>
      <w:r>
        <w:rPr>
          <w:rFonts w:hint="eastAsia" w:eastAsia="仿宋_GB2312"/>
          <w:kern w:val="2"/>
          <w:sz w:val="32"/>
          <w:szCs w:val="32"/>
          <w:lang w:val="en-US" w:eastAsia="zh-CN"/>
        </w:rPr>
        <w:t>23</w:t>
      </w:r>
      <w:r>
        <w:rPr>
          <w:rFonts w:hint="eastAsia" w:eastAsia="仿宋_GB2312"/>
          <w:kern w:val="2"/>
          <w:sz w:val="32"/>
          <w:szCs w:val="32"/>
        </w:rPr>
        <w:t>日</w:t>
      </w:r>
    </w:p>
    <w:p>
      <w:pPr>
        <w:keepNext w:val="0"/>
        <w:keepLines w:val="0"/>
        <w:pageBreakBefore w:val="0"/>
        <w:widowControl w:val="0"/>
        <w:kinsoku/>
        <w:wordWrap/>
        <w:topLinePunct w:val="0"/>
        <w:bidi w:val="0"/>
        <w:spacing w:line="580" w:lineRule="exact"/>
        <w:ind w:firstLine="628" w:firstLineChars="200"/>
        <w:textAlignment w:val="auto"/>
      </w:pPr>
      <w:r>
        <w:rPr>
          <w:rFonts w:hint="eastAsia" w:eastAsia="仿宋_GB2312"/>
          <w:kern w:val="2"/>
          <w:sz w:val="32"/>
          <w:szCs w:val="32"/>
        </w:rPr>
        <w:t>（此件公开发布）</w:t>
      </w:r>
    </w:p>
    <w:sectPr>
      <w:footerReference r:id="rId3" w:type="default"/>
      <w:footerReference r:id="rId4" w:type="even"/>
      <w:pgSz w:w="11906" w:h="16838"/>
      <w:pgMar w:top="20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15" w:leftChars="150" w:right="315" w:rightChars="150"/>
      <w:rPr>
        <w:rStyle w:val="6"/>
        <w:rFonts w:hint="eastAsia" w:ascii="宋体" w:hAnsi="宋体"/>
        <w:sz w:val="28"/>
        <w:szCs w:val="28"/>
      </w:rPr>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1</w:t>
    </w:r>
    <w:r>
      <w:rPr>
        <w:rStyle w:val="6"/>
        <w:rFonts w:ascii="宋体" w:hAnsi="宋体"/>
        <w:sz w:val="28"/>
        <w:szCs w:val="28"/>
      </w:rPr>
      <w:fldChar w:fldCharType="end"/>
    </w:r>
    <w:r>
      <w:rPr>
        <w:rStyle w:val="6"/>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570B1"/>
    <w:rsid w:val="075F674C"/>
    <w:rsid w:val="09AC08F5"/>
    <w:rsid w:val="0A186D91"/>
    <w:rsid w:val="0B3A3C5D"/>
    <w:rsid w:val="16657401"/>
    <w:rsid w:val="18DB1E51"/>
    <w:rsid w:val="192053EE"/>
    <w:rsid w:val="1A156921"/>
    <w:rsid w:val="1B095395"/>
    <w:rsid w:val="1D3570B1"/>
    <w:rsid w:val="1F573D93"/>
    <w:rsid w:val="265326DA"/>
    <w:rsid w:val="28C8606C"/>
    <w:rsid w:val="29171A1E"/>
    <w:rsid w:val="31E778A8"/>
    <w:rsid w:val="33B94AAA"/>
    <w:rsid w:val="38043EF0"/>
    <w:rsid w:val="3E945787"/>
    <w:rsid w:val="4ABC40B8"/>
    <w:rsid w:val="4EF957B9"/>
    <w:rsid w:val="4EFD73AF"/>
    <w:rsid w:val="51075873"/>
    <w:rsid w:val="5BDD2331"/>
    <w:rsid w:val="5D4E6DD5"/>
    <w:rsid w:val="63D716DB"/>
    <w:rsid w:val="6F712D0C"/>
    <w:rsid w:val="7A032150"/>
    <w:rsid w:val="7A782B89"/>
    <w:rsid w:val="7D641176"/>
    <w:rsid w:val="7E551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2020-12-10T02:26:00Z</dcterms:created>
  <dc:creator>徐霄飞</dc:creator>
  <cp:lastModifiedBy>陈永仁</cp:lastModifiedBy>
  <cp:lastPrinted>2021-02-08T06:01:00Z</cp:lastPrinted>
  <dcterms:modified xsi:type="dcterms:W3CDTF">2021-03-11T11:40:31Z</dcterms:modified>
  <dc:title>国家市场监督管理总局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