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topLinePunct w:val="0"/>
        <w:bidi w:val="0"/>
        <w:spacing w:line="580" w:lineRule="exact"/>
        <w:jc w:val="center"/>
        <w:textAlignment w:val="auto"/>
        <w:rPr>
          <w:rFonts w:eastAsia="黑体"/>
          <w:bCs/>
          <w:color w:val="000000"/>
          <w:kern w:val="2"/>
          <w:sz w:val="52"/>
          <w:szCs w:val="52"/>
        </w:rPr>
      </w:pPr>
      <w:r>
        <w:rPr>
          <w:rFonts w:hint="eastAsia" w:eastAsia="黑体"/>
          <w:bCs/>
          <w:color w:val="000000"/>
          <w:spacing w:val="30"/>
          <w:kern w:val="2"/>
          <w:sz w:val="52"/>
          <w:szCs w:val="52"/>
          <w:fitText w:val="5742" w:id="0"/>
        </w:rPr>
        <w:t>国家市场监督管理总</w:t>
      </w:r>
      <w:r>
        <w:rPr>
          <w:rFonts w:hint="eastAsia" w:eastAsia="黑体"/>
          <w:bCs/>
          <w:color w:val="000000"/>
          <w:spacing w:val="1"/>
          <w:kern w:val="2"/>
          <w:sz w:val="52"/>
          <w:szCs w:val="52"/>
          <w:fitText w:val="5742" w:id="0"/>
        </w:rPr>
        <w:t>局</w:t>
      </w:r>
    </w:p>
    <w:p>
      <w:pPr>
        <w:keepNext w:val="0"/>
        <w:keepLines w:val="0"/>
        <w:pageBreakBefore w:val="0"/>
        <w:widowControl w:val="0"/>
        <w:kinsoku/>
        <w:wordWrap/>
        <w:topLinePunct w:val="0"/>
        <w:bidi w:val="0"/>
        <w:spacing w:line="580" w:lineRule="exact"/>
        <w:jc w:val="center"/>
        <w:textAlignment w:val="auto"/>
        <w:rPr>
          <w:rFonts w:eastAsia="仿宋_GB2312"/>
          <w:color w:val="000000"/>
          <w:kern w:val="2"/>
          <w:sz w:val="44"/>
          <w:szCs w:val="44"/>
        </w:rPr>
      </w:pPr>
      <w:r>
        <w:rPr>
          <w:rFonts w:hint="eastAsia" w:eastAsia="黑体"/>
          <w:bCs/>
          <w:color w:val="000000"/>
          <w:spacing w:val="175"/>
          <w:kern w:val="2"/>
          <w:sz w:val="52"/>
          <w:szCs w:val="52"/>
          <w:fitText w:val="5742" w:id="1"/>
        </w:rPr>
        <w:t>行政处罚决定</w:t>
      </w:r>
      <w:r>
        <w:rPr>
          <w:rFonts w:hint="eastAsia" w:eastAsia="黑体"/>
          <w:bCs/>
          <w:color w:val="000000"/>
          <w:spacing w:val="1"/>
          <w:kern w:val="2"/>
          <w:sz w:val="52"/>
          <w:szCs w:val="52"/>
          <w:fitText w:val="5742" w:id="1"/>
        </w:rPr>
        <w:t>书</w:t>
      </w:r>
    </w:p>
    <w:p>
      <w:pPr>
        <w:keepNext w:val="0"/>
        <w:keepLines w:val="0"/>
        <w:pageBreakBefore w:val="0"/>
        <w:widowControl w:val="0"/>
        <w:kinsoku/>
        <w:wordWrap/>
        <w:topLinePunct w:val="0"/>
        <w:bidi w:val="0"/>
        <w:spacing w:line="580" w:lineRule="exact"/>
        <w:jc w:val="center"/>
        <w:textAlignment w:val="auto"/>
        <w:rPr>
          <w:rFonts w:hint="eastAsia" w:eastAsia="仿宋_GB2312"/>
          <w:kern w:val="2"/>
          <w:sz w:val="32"/>
          <w:szCs w:val="32"/>
        </w:rPr>
      </w:pPr>
      <w:bookmarkStart w:id="0" w:name="_GoBack"/>
      <w:bookmarkEnd w:id="0"/>
      <w:r>
        <w:rPr>
          <w:rFonts w:hint="eastAsia" w:eastAsia="仿宋_GB2312"/>
          <w:kern w:val="2"/>
          <w:sz w:val="32"/>
          <w:szCs w:val="32"/>
        </w:rPr>
        <w:t>国市监处〔202</w:t>
      </w:r>
      <w:r>
        <w:rPr>
          <w:rFonts w:hint="eastAsia" w:eastAsia="仿宋_GB2312"/>
          <w:kern w:val="2"/>
          <w:sz w:val="32"/>
          <w:szCs w:val="32"/>
          <w:lang w:val="en-US" w:eastAsia="zh-CN"/>
        </w:rPr>
        <w:t>1</w:t>
      </w:r>
      <w:r>
        <w:rPr>
          <w:rFonts w:hint="eastAsia" w:eastAsia="仿宋_GB2312"/>
          <w:kern w:val="2"/>
          <w:sz w:val="32"/>
          <w:szCs w:val="32"/>
        </w:rPr>
        <w:t>〕</w:t>
      </w:r>
      <w:r>
        <w:rPr>
          <w:rFonts w:hint="eastAsia" w:eastAsia="仿宋_GB2312"/>
          <w:kern w:val="2"/>
          <w:sz w:val="32"/>
          <w:szCs w:val="32"/>
          <w:lang w:val="en-US" w:eastAsia="zh-CN"/>
        </w:rPr>
        <w:t>11</w:t>
      </w:r>
      <w:r>
        <w:rPr>
          <w:rFonts w:hint="eastAsia" w:eastAsia="仿宋_GB2312"/>
          <w:kern w:val="2"/>
          <w:sz w:val="32"/>
          <w:szCs w:val="32"/>
        </w:rPr>
        <w:t>号</w:t>
      </w:r>
    </w:p>
    <w:p>
      <w:pPr>
        <w:keepNext w:val="0"/>
        <w:keepLines w:val="0"/>
        <w:pageBreakBefore w:val="0"/>
        <w:widowControl w:val="0"/>
        <w:kinsoku/>
        <w:wordWrap/>
        <w:topLinePunct w:val="0"/>
        <w:bidi w:val="0"/>
        <w:spacing w:line="580" w:lineRule="exact"/>
        <w:jc w:val="center"/>
        <w:textAlignment w:val="auto"/>
        <w:rPr>
          <w:rFonts w:hint="eastAsia" w:eastAsia="仿宋_GB2312"/>
          <w:kern w:val="2"/>
          <w:sz w:val="28"/>
          <w:szCs w:val="28"/>
        </w:rPr>
      </w:pPr>
    </w:p>
    <w:p>
      <w:pPr>
        <w:keepNext w:val="0"/>
        <w:keepLines w:val="0"/>
        <w:pageBreakBefore w:val="0"/>
        <w:widowControl w:val="0"/>
        <w:suppressAutoHyphens/>
        <w:kinsoku/>
        <w:wordWrap/>
        <w:overflowPunct w:val="0"/>
        <w:topLinePunct w:val="0"/>
        <w:autoSpaceDE w:val="0"/>
        <w:autoSpaceDN w:val="0"/>
        <w:bidi w:val="0"/>
        <w:adjustRightInd w:val="0"/>
        <w:spacing w:line="580" w:lineRule="exact"/>
        <w:ind w:firstLine="628" w:firstLineChars="200"/>
        <w:textAlignment w:val="auto"/>
        <w:rPr>
          <w:rFonts w:hint="eastAsia" w:ascii="仿宋_GB2312" w:eastAsia="仿宋_GB2312"/>
          <w:sz w:val="32"/>
          <w:szCs w:val="32"/>
          <w:lang w:eastAsia="zh-CN"/>
        </w:rPr>
      </w:pPr>
      <w:r>
        <w:rPr>
          <w:rFonts w:hint="eastAsia" w:eastAsia="仿宋_GB2312"/>
          <w:kern w:val="2"/>
          <w:sz w:val="32"/>
          <w:szCs w:val="32"/>
        </w:rPr>
        <w:t>当事人：</w:t>
      </w:r>
      <w:r>
        <w:rPr>
          <w:rFonts w:hint="eastAsia" w:ascii="仿宋_GB2312" w:eastAsia="仿宋_GB2312"/>
          <w:sz w:val="32"/>
          <w:szCs w:val="32"/>
        </w:rPr>
        <w:t>武汉金宇综合保税发展有限公司</w:t>
      </w:r>
    </w:p>
    <w:p>
      <w:pPr>
        <w:keepNext w:val="0"/>
        <w:keepLines w:val="0"/>
        <w:pageBreakBefore w:val="0"/>
        <w:widowControl w:val="0"/>
        <w:suppressAutoHyphens/>
        <w:kinsoku/>
        <w:wordWrap/>
        <w:overflowPunct w:val="0"/>
        <w:topLinePunct w:val="0"/>
        <w:autoSpaceDE w:val="0"/>
        <w:autoSpaceDN w:val="0"/>
        <w:bidi w:val="0"/>
        <w:adjustRightInd w:val="0"/>
        <w:spacing w:line="580" w:lineRule="exact"/>
        <w:ind w:firstLine="628" w:firstLineChars="200"/>
        <w:textAlignment w:val="auto"/>
        <w:rPr>
          <w:rFonts w:hint="eastAsia" w:eastAsia="仿宋_GB2312"/>
          <w:kern w:val="2"/>
          <w:sz w:val="32"/>
          <w:szCs w:val="32"/>
        </w:rPr>
      </w:pPr>
      <w:r>
        <w:rPr>
          <w:rFonts w:hint="eastAsia" w:eastAsia="仿宋_GB2312"/>
          <w:kern w:val="2"/>
          <w:sz w:val="32"/>
          <w:szCs w:val="32"/>
        </w:rPr>
        <w:t>住  所：武汉市东湖新技术开发区光谷三路777号</w:t>
      </w:r>
    </w:p>
    <w:p>
      <w:pPr>
        <w:keepNext w:val="0"/>
        <w:keepLines w:val="0"/>
        <w:pageBreakBefore w:val="0"/>
        <w:widowControl w:val="0"/>
        <w:suppressAutoHyphens/>
        <w:kinsoku/>
        <w:wordWrap/>
        <w:overflowPunct w:val="0"/>
        <w:topLinePunct w:val="0"/>
        <w:autoSpaceDE w:val="0"/>
        <w:autoSpaceDN w:val="0"/>
        <w:bidi w:val="0"/>
        <w:adjustRightInd w:val="0"/>
        <w:spacing w:line="580" w:lineRule="exact"/>
        <w:ind w:firstLine="628" w:firstLineChars="200"/>
        <w:textAlignment w:val="auto"/>
        <w:rPr>
          <w:rFonts w:hint="eastAsia" w:eastAsia="仿宋_GB2312"/>
          <w:kern w:val="2"/>
          <w:sz w:val="32"/>
          <w:szCs w:val="32"/>
        </w:rPr>
      </w:pPr>
    </w:p>
    <w:p>
      <w:pPr>
        <w:keepNext w:val="0"/>
        <w:keepLines w:val="0"/>
        <w:pageBreakBefore w:val="0"/>
        <w:widowControl w:val="0"/>
        <w:suppressAutoHyphens/>
        <w:kinsoku/>
        <w:wordWrap/>
        <w:overflowPunct w:val="0"/>
        <w:topLinePunct w:val="0"/>
        <w:autoSpaceDE w:val="0"/>
        <w:autoSpaceDN w:val="0"/>
        <w:bidi w:val="0"/>
        <w:adjustRightInd w:val="0"/>
        <w:spacing w:line="580" w:lineRule="exact"/>
        <w:ind w:firstLine="628" w:firstLineChars="200"/>
        <w:textAlignment w:val="auto"/>
        <w:rPr>
          <w:rFonts w:hint="eastAsia" w:ascii="仿宋_GB2312" w:eastAsia="仿宋_GB2312"/>
          <w:sz w:val="32"/>
          <w:szCs w:val="32"/>
          <w:lang w:eastAsia="zh-CN"/>
        </w:rPr>
      </w:pPr>
      <w:r>
        <w:rPr>
          <w:rFonts w:hint="eastAsia" w:eastAsia="仿宋_GB2312"/>
          <w:kern w:val="2"/>
          <w:sz w:val="32"/>
          <w:szCs w:val="32"/>
        </w:rPr>
        <w:t>当事人：</w:t>
      </w:r>
      <w:r>
        <w:rPr>
          <w:rFonts w:hint="eastAsia" w:ascii="Times New Roman" w:hAnsi="Times New Roman" w:eastAsia="仿宋_GB2312" w:cs="Times New Roman"/>
          <w:sz w:val="32"/>
          <w:szCs w:val="22"/>
          <w:lang w:val="en-US" w:eastAsia="zh-CN"/>
        </w:rPr>
        <w:t>丰豪物流（北京）有限公司</w:t>
      </w:r>
    </w:p>
    <w:p>
      <w:pPr>
        <w:keepNext w:val="0"/>
        <w:keepLines w:val="0"/>
        <w:pageBreakBefore w:val="0"/>
        <w:widowControl w:val="0"/>
        <w:suppressAutoHyphens/>
        <w:kinsoku/>
        <w:wordWrap/>
        <w:overflowPunct w:val="0"/>
        <w:topLinePunct w:val="0"/>
        <w:autoSpaceDE w:val="0"/>
        <w:autoSpaceDN w:val="0"/>
        <w:bidi w:val="0"/>
        <w:adjustRightInd w:val="0"/>
        <w:spacing w:line="580" w:lineRule="exact"/>
        <w:ind w:firstLine="628" w:firstLineChars="200"/>
        <w:textAlignment w:val="auto"/>
        <w:rPr>
          <w:rFonts w:hint="eastAsia" w:ascii="仿宋_GB2312" w:eastAsia="仿宋_GB2312"/>
          <w:sz w:val="32"/>
          <w:szCs w:val="32"/>
          <w:lang w:eastAsia="zh-CN"/>
        </w:rPr>
      </w:pPr>
      <w:r>
        <w:rPr>
          <w:rFonts w:hint="eastAsia" w:eastAsia="仿宋_GB2312"/>
          <w:kern w:val="2"/>
          <w:sz w:val="32"/>
          <w:szCs w:val="32"/>
        </w:rPr>
        <w:t>住  所：北京市顺义区顺畅大道15号5幢104</w:t>
      </w:r>
    </w:p>
    <w:p>
      <w:pPr>
        <w:keepNext w:val="0"/>
        <w:keepLines w:val="0"/>
        <w:pageBreakBefore w:val="0"/>
        <w:widowControl w:val="0"/>
        <w:suppressAutoHyphens/>
        <w:kinsoku/>
        <w:wordWrap/>
        <w:overflowPunct w:val="0"/>
        <w:topLinePunct w:val="0"/>
        <w:autoSpaceDE w:val="0"/>
        <w:autoSpaceDN w:val="0"/>
        <w:bidi w:val="0"/>
        <w:adjustRightInd w:val="0"/>
        <w:spacing w:line="580" w:lineRule="exact"/>
        <w:ind w:firstLine="628" w:firstLineChars="200"/>
        <w:textAlignment w:val="auto"/>
        <w:rPr>
          <w:rFonts w:hint="eastAsia" w:eastAsia="仿宋_GB2312"/>
          <w:kern w:val="2"/>
          <w:sz w:val="32"/>
          <w:szCs w:val="32"/>
        </w:rPr>
      </w:pPr>
    </w:p>
    <w:p>
      <w:pPr>
        <w:keepNext w:val="0"/>
        <w:keepLines w:val="0"/>
        <w:pageBreakBefore w:val="0"/>
        <w:widowControl w:val="0"/>
        <w:suppressAutoHyphens/>
        <w:kinsoku/>
        <w:wordWrap/>
        <w:overflowPunct w:val="0"/>
        <w:topLinePunct w:val="0"/>
        <w:autoSpaceDE w:val="0"/>
        <w:autoSpaceDN w:val="0"/>
        <w:bidi w:val="0"/>
        <w:adjustRightInd w:val="0"/>
        <w:spacing w:line="580" w:lineRule="exact"/>
        <w:ind w:firstLine="628" w:firstLineChars="200"/>
        <w:textAlignment w:val="auto"/>
        <w:rPr>
          <w:rFonts w:hint="eastAsia" w:eastAsia="仿宋_GB2312"/>
          <w:kern w:val="2"/>
          <w:sz w:val="32"/>
          <w:szCs w:val="32"/>
        </w:rPr>
      </w:pPr>
      <w:r>
        <w:rPr>
          <w:rFonts w:hint="eastAsia" w:eastAsia="仿宋_GB2312"/>
          <w:kern w:val="2"/>
          <w:sz w:val="32"/>
          <w:szCs w:val="32"/>
        </w:rPr>
        <w:t>根据《</w:t>
      </w:r>
      <w:r>
        <w:rPr>
          <w:rFonts w:hint="eastAsia" w:eastAsia="仿宋_GB2312"/>
          <w:kern w:val="2"/>
          <w:sz w:val="32"/>
          <w:szCs w:val="32"/>
          <w:lang w:eastAsia="zh-CN"/>
        </w:rPr>
        <w:t>中华人民共和国</w:t>
      </w:r>
      <w:r>
        <w:rPr>
          <w:rFonts w:hint="eastAsia" w:eastAsia="仿宋_GB2312"/>
          <w:kern w:val="2"/>
          <w:sz w:val="32"/>
          <w:szCs w:val="32"/>
        </w:rPr>
        <w:t>反垄断法》</w:t>
      </w:r>
      <w:r>
        <w:rPr>
          <w:rFonts w:hint="eastAsia" w:eastAsia="仿宋_GB2312"/>
          <w:kern w:val="2"/>
          <w:sz w:val="32"/>
          <w:szCs w:val="32"/>
          <w:lang w:eastAsia="zh-CN"/>
        </w:rPr>
        <w:t>（以下简称《反垄断法》）</w:t>
      </w:r>
      <w:r>
        <w:rPr>
          <w:rFonts w:hint="eastAsia" w:eastAsia="仿宋_GB2312"/>
          <w:kern w:val="2"/>
          <w:sz w:val="32"/>
          <w:szCs w:val="32"/>
        </w:rPr>
        <w:t>，本机关于</w:t>
      </w:r>
      <w:r>
        <w:rPr>
          <w:rFonts w:hint="default" w:ascii="Times New Roman" w:hAnsi="Times New Roman" w:eastAsia="仿宋_GB2312" w:cs="Times New Roman"/>
          <w:kern w:val="2"/>
          <w:sz w:val="32"/>
          <w:szCs w:val="32"/>
          <w:lang w:val="en-US" w:eastAsia="zh-CN"/>
        </w:rPr>
        <w:t>2019年4月26日</w:t>
      </w:r>
      <w:r>
        <w:rPr>
          <w:rFonts w:hint="eastAsia" w:eastAsia="仿宋_GB2312"/>
          <w:kern w:val="2"/>
          <w:sz w:val="32"/>
          <w:szCs w:val="32"/>
        </w:rPr>
        <w:t>对</w:t>
      </w:r>
      <w:r>
        <w:rPr>
          <w:rFonts w:hint="default" w:ascii="Times New Roman" w:hAnsi="Times New Roman" w:eastAsia="仿宋_GB2312" w:cs="Times New Roman"/>
          <w:kern w:val="2"/>
          <w:sz w:val="32"/>
          <w:szCs w:val="32"/>
        </w:rPr>
        <w:t>武汉金宇综合保税发展有限公司</w:t>
      </w:r>
      <w:r>
        <w:rPr>
          <w:rFonts w:hint="default" w:ascii="Times New Roman" w:hAnsi="Times New Roman" w:eastAsia="仿宋_GB2312" w:cs="Times New Roman"/>
          <w:kern w:val="2"/>
          <w:sz w:val="32"/>
          <w:szCs w:val="32"/>
          <w:lang w:val="en-US" w:eastAsia="zh-CN"/>
        </w:rPr>
        <w:t>(以下简称武汉金宇）</w:t>
      </w:r>
      <w:r>
        <w:rPr>
          <w:rFonts w:hint="default" w:ascii="Times New Roman" w:hAnsi="Times New Roman" w:eastAsia="仿宋_GB2312" w:cs="Times New Roman"/>
          <w:kern w:val="2"/>
          <w:sz w:val="32"/>
          <w:szCs w:val="32"/>
        </w:rPr>
        <w:t>和</w:t>
      </w:r>
      <w:r>
        <w:rPr>
          <w:rFonts w:hint="eastAsia" w:ascii="Times New Roman" w:hAnsi="Times New Roman" w:eastAsia="仿宋_GB2312" w:cs="Times New Roman"/>
          <w:sz w:val="32"/>
          <w:szCs w:val="22"/>
          <w:lang w:val="en-US" w:eastAsia="zh-CN"/>
        </w:rPr>
        <w:t>丰豪物流（北京）有限公司</w:t>
      </w:r>
      <w:r>
        <w:rPr>
          <w:rFonts w:hint="eastAsia" w:ascii="仿宋_GB2312" w:hAnsi="仿宋_GB2312" w:eastAsia="仿宋_GB2312" w:cs="仿宋_GB2312"/>
          <w:sz w:val="32"/>
          <w:szCs w:val="22"/>
          <w:lang w:val="en-US" w:eastAsia="zh-CN"/>
        </w:rPr>
        <w:t>〔</w:t>
      </w:r>
      <w:r>
        <w:rPr>
          <w:rFonts w:hint="eastAsia" w:eastAsia="仿宋_GB2312" w:cs="Times New Roman"/>
          <w:sz w:val="32"/>
          <w:szCs w:val="22"/>
          <w:lang w:val="en-US" w:eastAsia="zh-CN"/>
        </w:rPr>
        <w:t>原名</w:t>
      </w:r>
      <w:r>
        <w:rPr>
          <w:rFonts w:hint="default" w:ascii="Times New Roman" w:hAnsi="Times New Roman" w:eastAsia="仿宋_GB2312" w:cs="Times New Roman"/>
          <w:kern w:val="2"/>
          <w:sz w:val="32"/>
          <w:szCs w:val="32"/>
        </w:rPr>
        <w:t>敦豪物流(北京)有限公司</w:t>
      </w:r>
      <w:r>
        <w:rPr>
          <w:rFonts w:hint="eastAsia" w:eastAsia="仿宋_GB2312" w:cs="Times New Roman"/>
          <w:kern w:val="2"/>
          <w:sz w:val="32"/>
          <w:szCs w:val="32"/>
          <w:lang w:eastAsia="zh-CN"/>
        </w:rPr>
        <w:t>，</w:t>
      </w:r>
      <w:r>
        <w:rPr>
          <w:rFonts w:hint="default" w:ascii="Times New Roman" w:hAnsi="Times New Roman" w:eastAsia="仿宋_GB2312" w:cs="Times New Roman"/>
          <w:kern w:val="2"/>
          <w:sz w:val="32"/>
          <w:szCs w:val="32"/>
          <w:lang w:eastAsia="zh-CN"/>
        </w:rPr>
        <w:t>以下简称敦豪北京</w:t>
      </w:r>
      <w:r>
        <w:rPr>
          <w:rFonts w:hint="eastAsia" w:ascii="仿宋_GB2312" w:hAnsi="仿宋_GB2312" w:eastAsia="仿宋_GB2312" w:cs="仿宋_GB2312"/>
          <w:kern w:val="2"/>
          <w:sz w:val="32"/>
          <w:szCs w:val="32"/>
          <w:lang w:eastAsia="zh-CN"/>
        </w:rPr>
        <w:t>〕</w:t>
      </w:r>
      <w:r>
        <w:rPr>
          <w:rFonts w:hint="default" w:ascii="Times New Roman" w:hAnsi="Times New Roman" w:eastAsia="仿宋_GB2312" w:cs="Times New Roman"/>
          <w:kern w:val="2"/>
          <w:sz w:val="32"/>
          <w:szCs w:val="32"/>
        </w:rPr>
        <w:t>设立合营企业涉嫌未依法申报违法实施经营者集中案</w:t>
      </w:r>
      <w:r>
        <w:rPr>
          <w:rFonts w:hint="eastAsia" w:eastAsia="仿宋_GB2312"/>
          <w:kern w:val="2"/>
          <w:sz w:val="32"/>
          <w:szCs w:val="32"/>
        </w:rPr>
        <w:t>进行立案调查。</w:t>
      </w:r>
    </w:p>
    <w:p>
      <w:pPr>
        <w:keepNext w:val="0"/>
        <w:keepLines w:val="0"/>
        <w:pageBreakBefore w:val="0"/>
        <w:widowControl w:val="0"/>
        <w:suppressAutoHyphens/>
        <w:kinsoku/>
        <w:wordWrap/>
        <w:overflowPunct w:val="0"/>
        <w:topLinePunct w:val="0"/>
        <w:autoSpaceDE w:val="0"/>
        <w:autoSpaceDN w:val="0"/>
        <w:bidi w:val="0"/>
        <w:adjustRightInd w:val="0"/>
        <w:spacing w:line="580" w:lineRule="exact"/>
        <w:ind w:firstLine="628" w:firstLineChars="200"/>
        <w:textAlignment w:val="auto"/>
        <w:rPr>
          <w:rFonts w:hint="eastAsia" w:eastAsia="仿宋_GB2312"/>
          <w:kern w:val="2"/>
          <w:sz w:val="32"/>
          <w:szCs w:val="32"/>
        </w:rPr>
      </w:pPr>
      <w:r>
        <w:rPr>
          <w:rFonts w:hint="eastAsia" w:eastAsia="仿宋_GB2312"/>
          <w:kern w:val="2"/>
          <w:sz w:val="32"/>
          <w:szCs w:val="32"/>
        </w:rPr>
        <w:t>经查，该案构成未依法申报违法实施的经营者集中，但不具有排除、限制竞争的效果。本机关按照《</w:t>
      </w:r>
      <w:r>
        <w:rPr>
          <w:rFonts w:hint="eastAsia" w:eastAsia="仿宋_GB2312"/>
          <w:kern w:val="2"/>
          <w:sz w:val="32"/>
          <w:szCs w:val="32"/>
          <w:lang w:eastAsia="zh-CN"/>
        </w:rPr>
        <w:t>中华人民共和国</w:t>
      </w:r>
      <w:r>
        <w:rPr>
          <w:rFonts w:hint="eastAsia" w:eastAsia="仿宋_GB2312"/>
          <w:kern w:val="2"/>
          <w:sz w:val="32"/>
          <w:szCs w:val="32"/>
        </w:rPr>
        <w:t>行政处罚法》</w:t>
      </w:r>
      <w:r>
        <w:rPr>
          <w:rFonts w:hint="eastAsia" w:eastAsia="仿宋_GB2312"/>
          <w:kern w:val="2"/>
          <w:sz w:val="32"/>
          <w:szCs w:val="32"/>
          <w:lang w:eastAsia="zh-CN"/>
        </w:rPr>
        <w:t>（以下简称</w:t>
      </w:r>
      <w:r>
        <w:rPr>
          <w:rFonts w:hint="eastAsia" w:eastAsia="仿宋_GB2312"/>
          <w:kern w:val="2"/>
          <w:sz w:val="32"/>
          <w:szCs w:val="32"/>
        </w:rPr>
        <w:t>《行政处罚法》</w:t>
      </w:r>
      <w:r>
        <w:rPr>
          <w:rFonts w:hint="eastAsia" w:eastAsia="仿宋_GB2312"/>
          <w:kern w:val="2"/>
          <w:sz w:val="32"/>
          <w:szCs w:val="32"/>
          <w:lang w:eastAsia="zh-CN"/>
        </w:rPr>
        <w:t>）</w:t>
      </w:r>
      <w:r>
        <w:rPr>
          <w:rFonts w:hint="eastAsia" w:eastAsia="仿宋_GB2312"/>
          <w:kern w:val="2"/>
          <w:sz w:val="32"/>
          <w:szCs w:val="32"/>
        </w:rPr>
        <w:t>的规定，向</w:t>
      </w:r>
      <w:r>
        <w:rPr>
          <w:rFonts w:hint="eastAsia" w:eastAsia="仿宋_GB2312" w:cs="Times New Roman"/>
          <w:kern w:val="2"/>
          <w:sz w:val="32"/>
          <w:szCs w:val="32"/>
          <w:lang w:val="en-US" w:eastAsia="zh-CN"/>
        </w:rPr>
        <w:t>当事人</w:t>
      </w:r>
      <w:r>
        <w:rPr>
          <w:rFonts w:hint="eastAsia" w:eastAsia="仿宋_GB2312"/>
          <w:kern w:val="2"/>
          <w:sz w:val="32"/>
          <w:szCs w:val="32"/>
        </w:rPr>
        <w:t>送达了《行政处罚告知书》，告知其拟作出行政处罚决定的事实、理由、证据、处罚内容，以及其依法享有的陈述权、申辩权和要求听证权。</w:t>
      </w:r>
      <w:r>
        <w:rPr>
          <w:rFonts w:hint="eastAsia" w:eastAsia="仿宋_GB2312" w:cs="Times New Roman"/>
          <w:kern w:val="2"/>
          <w:sz w:val="32"/>
          <w:szCs w:val="32"/>
          <w:lang w:val="en-US" w:eastAsia="zh-CN"/>
        </w:rPr>
        <w:t>当事人提出了</w:t>
      </w:r>
      <w:r>
        <w:rPr>
          <w:rFonts w:hint="eastAsia" w:eastAsia="仿宋_GB2312"/>
          <w:kern w:val="2"/>
          <w:sz w:val="32"/>
          <w:szCs w:val="32"/>
        </w:rPr>
        <w:t>陈述、申辩意见</w:t>
      </w:r>
      <w:r>
        <w:rPr>
          <w:rFonts w:hint="eastAsia" w:eastAsia="仿宋_GB2312"/>
          <w:kern w:val="2"/>
          <w:sz w:val="32"/>
          <w:szCs w:val="32"/>
          <w:lang w:eastAsia="zh-CN"/>
        </w:rPr>
        <w:t>，未提出听证要求</w:t>
      </w:r>
      <w:r>
        <w:rPr>
          <w:rFonts w:hint="eastAsia" w:eastAsia="仿宋_GB2312"/>
          <w:kern w:val="2"/>
          <w:sz w:val="32"/>
          <w:szCs w:val="32"/>
        </w:rPr>
        <w:t>。</w:t>
      </w:r>
    </w:p>
    <w:p>
      <w:pPr>
        <w:keepNext w:val="0"/>
        <w:keepLines w:val="0"/>
        <w:pageBreakBefore w:val="0"/>
        <w:widowControl w:val="0"/>
        <w:suppressAutoHyphens/>
        <w:kinsoku/>
        <w:wordWrap/>
        <w:overflowPunct w:val="0"/>
        <w:topLinePunct w:val="0"/>
        <w:autoSpaceDE w:val="0"/>
        <w:autoSpaceDN w:val="0"/>
        <w:bidi w:val="0"/>
        <w:adjustRightInd w:val="0"/>
        <w:spacing w:line="580" w:lineRule="exact"/>
        <w:ind w:firstLine="628" w:firstLineChars="200"/>
        <w:textAlignment w:val="auto"/>
        <w:rPr>
          <w:rFonts w:hint="eastAsia" w:ascii="黑体" w:hAnsi="黑体" w:eastAsia="黑体"/>
          <w:kern w:val="2"/>
          <w:sz w:val="32"/>
          <w:szCs w:val="32"/>
        </w:rPr>
      </w:pPr>
      <w:r>
        <w:rPr>
          <w:rFonts w:hint="eastAsia" w:ascii="黑体" w:hAnsi="黑体" w:eastAsia="黑体"/>
          <w:kern w:val="2"/>
          <w:sz w:val="32"/>
          <w:szCs w:val="32"/>
        </w:rPr>
        <w:t>一、基本情况</w:t>
      </w:r>
    </w:p>
    <w:p>
      <w:pPr>
        <w:keepNext w:val="0"/>
        <w:keepLines w:val="0"/>
        <w:pageBreakBefore w:val="0"/>
        <w:widowControl w:val="0"/>
        <w:suppressAutoHyphens/>
        <w:kinsoku/>
        <w:wordWrap/>
        <w:overflowPunct w:val="0"/>
        <w:topLinePunct w:val="0"/>
        <w:autoSpaceDE w:val="0"/>
        <w:autoSpaceDN w:val="0"/>
        <w:bidi w:val="0"/>
        <w:adjustRightInd w:val="0"/>
        <w:spacing w:line="594" w:lineRule="exact"/>
        <w:ind w:firstLine="628" w:firstLineChars="200"/>
        <w:textAlignment w:val="auto"/>
        <w:rPr>
          <w:rFonts w:hint="default" w:ascii="Times New Roman" w:hAnsi="Times New Roman" w:eastAsia="楷体_GB2312" w:cs="Times New Roman"/>
          <w:b w:val="0"/>
          <w:bCs w:val="0"/>
          <w:kern w:val="2"/>
          <w:sz w:val="32"/>
          <w:szCs w:val="32"/>
        </w:rPr>
      </w:pPr>
      <w:r>
        <w:rPr>
          <w:rFonts w:hint="default" w:ascii="Times New Roman" w:hAnsi="Times New Roman" w:eastAsia="楷体_GB2312" w:cs="Times New Roman"/>
          <w:b w:val="0"/>
          <w:bCs w:val="0"/>
          <w:kern w:val="2"/>
          <w:sz w:val="32"/>
          <w:szCs w:val="32"/>
        </w:rPr>
        <w:t>（一）交易方。</w:t>
      </w:r>
    </w:p>
    <w:p>
      <w:pPr>
        <w:keepNext w:val="0"/>
        <w:keepLines w:val="0"/>
        <w:pageBreakBefore w:val="0"/>
        <w:widowControl w:val="0"/>
        <w:kinsoku/>
        <w:wordWrap/>
        <w:topLinePunct w:val="0"/>
        <w:bidi w:val="0"/>
        <w:spacing w:line="594" w:lineRule="exact"/>
        <w:ind w:firstLine="628" w:firstLineChars="200"/>
        <w:textAlignment w:val="auto"/>
        <w:outlineLvl w:val="0"/>
        <w:rPr>
          <w:rFonts w:hint="default" w:ascii="Times New Roman" w:hAnsi="Times New Roman" w:eastAsia="仿宋_GB2312" w:cs="Times New Roman"/>
          <w:b w:val="0"/>
          <w:bCs/>
          <w:kern w:val="2"/>
          <w:sz w:val="32"/>
          <w:szCs w:val="32"/>
          <w:lang w:val="en-US" w:eastAsia="zh-CN" w:bidi="ar-SA"/>
        </w:rPr>
      </w:pPr>
      <w:r>
        <w:rPr>
          <w:rFonts w:hint="default" w:ascii="Times New Roman" w:hAnsi="Times New Roman" w:eastAsia="仿宋_GB2312" w:cs="Times New Roman"/>
          <w:b/>
          <w:kern w:val="2"/>
          <w:sz w:val="32"/>
          <w:szCs w:val="32"/>
          <w:lang w:val="en-US" w:eastAsia="zh-CN" w:bidi="ar-SA"/>
        </w:rPr>
        <w:t>合营方一：武汉金宇。</w:t>
      </w:r>
      <w:r>
        <w:rPr>
          <w:rFonts w:hint="default" w:ascii="Times New Roman" w:hAnsi="Times New Roman" w:eastAsia="仿宋_GB2312" w:cs="Times New Roman"/>
          <w:b w:val="0"/>
          <w:bCs/>
          <w:kern w:val="2"/>
          <w:sz w:val="32"/>
          <w:szCs w:val="32"/>
          <w:lang w:val="en-US" w:eastAsia="zh-CN" w:bidi="ar-SA"/>
        </w:rPr>
        <w:t>2014年在中国湖北武汉注册成立，最终控制人为</w:t>
      </w:r>
      <w:r>
        <w:rPr>
          <w:rFonts w:hint="eastAsia" w:eastAsia="仿宋_GB2312" w:cs="Times New Roman"/>
          <w:b w:val="0"/>
          <w:bCs/>
          <w:kern w:val="2"/>
          <w:sz w:val="32"/>
          <w:szCs w:val="32"/>
          <w:lang w:val="en-US" w:eastAsia="zh-CN" w:bidi="ar-SA"/>
        </w:rPr>
        <w:t>（略）</w:t>
      </w:r>
      <w:r>
        <w:rPr>
          <w:rFonts w:hint="default" w:ascii="Times New Roman" w:hAnsi="Times New Roman" w:eastAsia="仿宋_GB2312" w:cs="Times New Roman"/>
          <w:b w:val="0"/>
          <w:bCs/>
          <w:kern w:val="2"/>
          <w:sz w:val="32"/>
          <w:szCs w:val="32"/>
          <w:lang w:val="en-US" w:eastAsia="zh-CN" w:bidi="ar-SA"/>
        </w:rPr>
        <w:t>。武汉金宇2015年度全球和中国营业额均为</w:t>
      </w:r>
      <w:r>
        <w:rPr>
          <w:rFonts w:hint="eastAsia" w:eastAsia="仿宋_GB2312" w:cs="Times New Roman"/>
          <w:b w:val="0"/>
          <w:bCs/>
          <w:kern w:val="2"/>
          <w:sz w:val="32"/>
          <w:szCs w:val="32"/>
          <w:lang w:val="en-US" w:eastAsia="zh-CN" w:bidi="ar-SA"/>
        </w:rPr>
        <w:t>（略）</w:t>
      </w:r>
      <w:r>
        <w:rPr>
          <w:rFonts w:hint="eastAsia" w:ascii="Times New Roman" w:hAnsi="Times New Roman" w:eastAsia="仿宋_GB2312" w:cs="Times New Roman"/>
          <w:b w:val="0"/>
          <w:bCs/>
          <w:kern w:val="2"/>
          <w:sz w:val="32"/>
          <w:szCs w:val="32"/>
          <w:lang w:val="en-US" w:eastAsia="zh-CN" w:bidi="ar-SA"/>
        </w:rPr>
        <w:t>（币种下同）。</w:t>
      </w:r>
    </w:p>
    <w:p>
      <w:pPr>
        <w:pStyle w:val="7"/>
        <w:ind w:firstLine="643"/>
        <w:rPr>
          <w:rFonts w:hint="eastAsia" w:ascii="Times New Roman" w:hAnsi="Times New Roman" w:eastAsia="仿宋_GB2312" w:cs="Times New Roman"/>
          <w:kern w:val="2"/>
          <w:sz w:val="32"/>
          <w:szCs w:val="22"/>
          <w:lang w:val="en-US" w:eastAsia="zh-CN" w:bidi="ar-SA"/>
        </w:rPr>
      </w:pPr>
      <w:r>
        <w:rPr>
          <w:rFonts w:hint="eastAsia"/>
          <w:b/>
          <w:lang w:eastAsia="zh-CN"/>
        </w:rPr>
        <w:t>合营</w:t>
      </w:r>
      <w:r>
        <w:rPr>
          <w:b/>
        </w:rPr>
        <w:t>方</w:t>
      </w:r>
      <w:r>
        <w:rPr>
          <w:rFonts w:hint="eastAsia"/>
          <w:b/>
          <w:lang w:eastAsia="zh-CN"/>
        </w:rPr>
        <w:t>二</w:t>
      </w:r>
      <w:r>
        <w:rPr>
          <w:rFonts w:hint="eastAsia"/>
          <w:b/>
        </w:rPr>
        <w:t>：</w:t>
      </w:r>
      <w:r>
        <w:rPr>
          <w:rFonts w:hint="eastAsia"/>
          <w:b/>
          <w:lang w:eastAsia="zh-CN"/>
        </w:rPr>
        <w:t>敦豪北京。</w:t>
      </w:r>
      <w:r>
        <w:rPr>
          <w:rFonts w:hint="eastAsia" w:ascii="Times New Roman" w:hAnsi="Times New Roman" w:eastAsia="仿宋_GB2312" w:cs="Times New Roman"/>
          <w:kern w:val="2"/>
          <w:sz w:val="32"/>
          <w:szCs w:val="22"/>
          <w:lang w:val="en-US" w:eastAsia="zh-CN" w:bidi="ar-SA"/>
        </w:rPr>
        <w:t>1994年在中国北京注册成立，</w:t>
      </w:r>
      <w:r>
        <w:rPr>
          <w:rFonts w:hint="eastAsia" w:eastAsia="仿宋_GB2312" w:cs="Times New Roman"/>
          <w:b w:val="0"/>
          <w:bCs/>
          <w:kern w:val="2"/>
          <w:sz w:val="32"/>
          <w:szCs w:val="32"/>
          <w:lang w:val="en-US" w:eastAsia="zh-CN" w:bidi="ar-SA"/>
        </w:rPr>
        <w:t>（略）</w:t>
      </w:r>
      <w:r>
        <w:rPr>
          <w:rFonts w:hint="eastAsia" w:ascii="Times New Roman" w:hAnsi="Times New Roman" w:eastAsia="仿宋_GB2312" w:cs="Times New Roman"/>
          <w:kern w:val="2"/>
          <w:sz w:val="32"/>
          <w:szCs w:val="22"/>
          <w:lang w:val="en-US" w:eastAsia="zh-CN" w:bidi="ar-SA"/>
        </w:rPr>
        <w:t>。敦豪</w:t>
      </w:r>
      <w:r>
        <w:rPr>
          <w:rFonts w:hint="eastAsia" w:ascii="Times New Roman" w:hAnsi="Times New Roman" w:cs="Times New Roman"/>
          <w:kern w:val="2"/>
          <w:sz w:val="32"/>
          <w:szCs w:val="22"/>
          <w:lang w:val="en-US" w:eastAsia="zh-CN" w:bidi="ar-SA"/>
        </w:rPr>
        <w:t>北京</w:t>
      </w:r>
      <w:r>
        <w:rPr>
          <w:rFonts w:hint="eastAsia" w:ascii="Times New Roman" w:hAnsi="Times New Roman" w:eastAsia="仿宋_GB2312" w:cs="Times New Roman"/>
          <w:kern w:val="2"/>
          <w:sz w:val="32"/>
          <w:szCs w:val="22"/>
          <w:lang w:val="en-US" w:eastAsia="zh-CN" w:bidi="ar-SA"/>
        </w:rPr>
        <w:t>主要在中国大陆从事第三方物流服务。</w:t>
      </w:r>
      <w:r>
        <w:rPr>
          <w:rFonts w:hint="eastAsia" w:ascii="Times New Roman" w:hAnsi="Times New Roman"/>
          <w:lang w:eastAsia="zh-CN"/>
        </w:rPr>
        <w:t>敦豪北京</w:t>
      </w:r>
      <w:r>
        <w:rPr>
          <w:rFonts w:hint="eastAsia" w:ascii="Times New Roman" w:hAnsi="Times New Roman" w:eastAsia="仿宋_GB2312"/>
          <w:lang w:val="en-US" w:eastAsia="zh-CN"/>
        </w:rPr>
        <w:t>201</w:t>
      </w:r>
      <w:r>
        <w:rPr>
          <w:rFonts w:hint="eastAsia" w:ascii="Times New Roman" w:hAnsi="Times New Roman"/>
          <w:lang w:val="en-US" w:eastAsia="zh-CN"/>
        </w:rPr>
        <w:t>5</w:t>
      </w:r>
      <w:r>
        <w:rPr>
          <w:rFonts w:hint="eastAsia" w:ascii="Times New Roman" w:hAnsi="Times New Roman" w:eastAsia="仿宋_GB2312"/>
          <w:lang w:val="en-US" w:eastAsia="zh-CN"/>
        </w:rPr>
        <w:t>年度全球</w:t>
      </w:r>
      <w:r>
        <w:rPr>
          <w:rFonts w:hint="eastAsia" w:ascii="Times New Roman" w:hAnsi="Times New Roman"/>
          <w:lang w:val="en-US" w:eastAsia="zh-CN"/>
        </w:rPr>
        <w:t>和中国</w:t>
      </w:r>
      <w:r>
        <w:rPr>
          <w:rFonts w:hint="eastAsia" w:ascii="Times New Roman" w:hAnsi="Times New Roman" w:eastAsia="仿宋_GB2312"/>
          <w:lang w:val="en-US" w:eastAsia="zh-CN"/>
        </w:rPr>
        <w:t>营业额</w:t>
      </w:r>
      <w:r>
        <w:rPr>
          <w:rFonts w:hint="eastAsia" w:ascii="Times New Roman" w:hAnsi="Times New Roman"/>
          <w:lang w:val="en-US" w:eastAsia="zh-CN"/>
        </w:rPr>
        <w:t>均</w:t>
      </w:r>
      <w:r>
        <w:rPr>
          <w:rFonts w:hint="eastAsia" w:ascii="Times New Roman" w:hAnsi="Times New Roman" w:eastAsia="仿宋_GB2312"/>
          <w:lang w:val="en-US" w:eastAsia="zh-CN"/>
        </w:rPr>
        <w:t>为</w:t>
      </w:r>
      <w:r>
        <w:rPr>
          <w:rFonts w:hint="eastAsia" w:eastAsia="仿宋_GB2312" w:cs="Times New Roman"/>
          <w:b w:val="0"/>
          <w:bCs/>
          <w:kern w:val="2"/>
          <w:sz w:val="32"/>
          <w:szCs w:val="32"/>
          <w:lang w:val="en-US" w:eastAsia="zh-CN" w:bidi="ar-SA"/>
        </w:rPr>
        <w:t>（略）</w:t>
      </w:r>
      <w:r>
        <w:rPr>
          <w:rFonts w:hint="eastAsia" w:ascii="Times New Roman" w:hAnsi="Times New Roman"/>
          <w:lang w:eastAsia="zh-CN"/>
        </w:rPr>
        <w:t>。</w:t>
      </w:r>
    </w:p>
    <w:p>
      <w:pPr>
        <w:keepNext w:val="0"/>
        <w:keepLines w:val="0"/>
        <w:pageBreakBefore w:val="0"/>
        <w:widowControl w:val="0"/>
        <w:kinsoku/>
        <w:wordWrap/>
        <w:topLinePunct w:val="0"/>
        <w:bidi w:val="0"/>
        <w:spacing w:line="594" w:lineRule="exact"/>
        <w:ind w:firstLine="628" w:firstLineChars="200"/>
        <w:textAlignment w:val="auto"/>
        <w:outlineLvl w:val="0"/>
        <w:rPr>
          <w:rFonts w:hint="default" w:ascii="Times New Roman" w:hAnsi="Times New Roman" w:eastAsia="楷体_GB2312" w:cs="Times New Roman"/>
          <w:b w:val="0"/>
          <w:bCs w:val="0"/>
          <w:kern w:val="2"/>
          <w:sz w:val="32"/>
          <w:szCs w:val="32"/>
        </w:rPr>
      </w:pPr>
      <w:r>
        <w:rPr>
          <w:rFonts w:hint="default" w:ascii="Times New Roman" w:hAnsi="Times New Roman" w:eastAsia="楷体_GB2312" w:cs="Times New Roman"/>
          <w:b w:val="0"/>
          <w:bCs w:val="0"/>
          <w:kern w:val="2"/>
          <w:sz w:val="32"/>
          <w:szCs w:val="32"/>
        </w:rPr>
        <w:t>（二）交易概况。</w:t>
      </w:r>
    </w:p>
    <w:p>
      <w:pPr>
        <w:pStyle w:val="7"/>
        <w:ind w:firstLine="643"/>
        <w:rPr>
          <w:rFonts w:hint="eastAsia" w:ascii="Times New Roman" w:hAnsi="Times New Roman" w:eastAsia="仿宋_GB2312" w:cs="Times New Roman"/>
          <w:kern w:val="2"/>
          <w:sz w:val="32"/>
          <w:szCs w:val="22"/>
          <w:lang w:val="en-US" w:eastAsia="zh-CN" w:bidi="ar-SA"/>
        </w:rPr>
      </w:pPr>
      <w:r>
        <w:rPr>
          <w:rFonts w:hint="eastAsia" w:ascii="Times New Roman" w:hAnsi="Times New Roman" w:eastAsia="仿宋_GB2312" w:cs="Times New Roman"/>
          <w:kern w:val="2"/>
          <w:sz w:val="32"/>
          <w:szCs w:val="22"/>
          <w:lang w:val="en-US" w:eastAsia="zh-CN" w:bidi="ar-SA"/>
        </w:rPr>
        <w:t>2016年11月，武汉金宇和敦豪</w:t>
      </w:r>
      <w:r>
        <w:rPr>
          <w:rFonts w:hint="eastAsia" w:ascii="Times New Roman" w:hAnsi="Times New Roman" w:cs="Times New Roman"/>
          <w:kern w:val="2"/>
          <w:sz w:val="32"/>
          <w:szCs w:val="22"/>
          <w:lang w:val="en-US" w:eastAsia="zh-CN" w:bidi="ar-SA"/>
        </w:rPr>
        <w:t>北京</w:t>
      </w:r>
      <w:r>
        <w:rPr>
          <w:rFonts w:hint="eastAsia" w:ascii="Times New Roman" w:hAnsi="Times New Roman" w:eastAsia="仿宋_GB2312" w:cs="Times New Roman"/>
          <w:kern w:val="2"/>
          <w:sz w:val="32"/>
          <w:szCs w:val="22"/>
          <w:lang w:val="en-US" w:eastAsia="zh-CN" w:bidi="ar-SA"/>
        </w:rPr>
        <w:t>签署协议，设立合营企业武汉金宇敦豪供应链管理有限公司，武汉金宇持股60%，敦豪</w:t>
      </w:r>
      <w:r>
        <w:rPr>
          <w:rFonts w:hint="eastAsia" w:ascii="Times New Roman" w:hAnsi="Times New Roman" w:cs="Times New Roman"/>
          <w:kern w:val="2"/>
          <w:sz w:val="32"/>
          <w:szCs w:val="22"/>
          <w:lang w:val="en-US" w:eastAsia="zh-CN" w:bidi="ar-SA"/>
        </w:rPr>
        <w:t>北京</w:t>
      </w:r>
      <w:r>
        <w:rPr>
          <w:rFonts w:hint="eastAsia" w:ascii="Times New Roman" w:hAnsi="Times New Roman" w:eastAsia="仿宋_GB2312" w:cs="Times New Roman"/>
          <w:kern w:val="2"/>
          <w:sz w:val="32"/>
          <w:szCs w:val="22"/>
          <w:lang w:val="en-US" w:eastAsia="zh-CN" w:bidi="ar-SA"/>
        </w:rPr>
        <w:t>持股40%。双方共同控制合营企业。</w:t>
      </w:r>
    </w:p>
    <w:p>
      <w:pPr>
        <w:keepNext w:val="0"/>
        <w:keepLines w:val="0"/>
        <w:pageBreakBefore w:val="0"/>
        <w:widowControl w:val="0"/>
        <w:suppressAutoHyphens/>
        <w:kinsoku/>
        <w:wordWrap/>
        <w:overflowPunct w:val="0"/>
        <w:topLinePunct w:val="0"/>
        <w:autoSpaceDE w:val="0"/>
        <w:autoSpaceDN w:val="0"/>
        <w:bidi w:val="0"/>
        <w:adjustRightInd w:val="0"/>
        <w:spacing w:line="580" w:lineRule="exact"/>
        <w:ind w:firstLine="628" w:firstLineChars="200"/>
        <w:textAlignment w:val="auto"/>
        <w:rPr>
          <w:rFonts w:hint="eastAsia" w:ascii="黑体" w:hAnsi="黑体" w:eastAsia="黑体"/>
          <w:kern w:val="2"/>
          <w:sz w:val="32"/>
          <w:szCs w:val="32"/>
        </w:rPr>
      </w:pPr>
      <w:r>
        <w:rPr>
          <w:rFonts w:hint="eastAsia" w:ascii="黑体" w:hAnsi="黑体" w:eastAsia="黑体"/>
          <w:kern w:val="2"/>
          <w:sz w:val="32"/>
          <w:szCs w:val="32"/>
        </w:rPr>
        <w:t>二、违法事实及理由</w:t>
      </w:r>
    </w:p>
    <w:p>
      <w:pPr>
        <w:keepNext w:val="0"/>
        <w:keepLines w:val="0"/>
        <w:pageBreakBefore w:val="0"/>
        <w:widowControl w:val="0"/>
        <w:suppressAutoHyphens/>
        <w:kinsoku/>
        <w:wordWrap/>
        <w:overflowPunct w:val="0"/>
        <w:topLinePunct w:val="0"/>
        <w:autoSpaceDE w:val="0"/>
        <w:autoSpaceDN w:val="0"/>
        <w:bidi w:val="0"/>
        <w:adjustRightInd w:val="0"/>
        <w:spacing w:line="580" w:lineRule="exact"/>
        <w:ind w:firstLine="628" w:firstLineChars="200"/>
        <w:textAlignment w:val="auto"/>
        <w:rPr>
          <w:rFonts w:hint="eastAsia" w:ascii="楷体_GB2312" w:eastAsia="楷体_GB2312"/>
          <w:kern w:val="2"/>
          <w:sz w:val="32"/>
          <w:szCs w:val="32"/>
        </w:rPr>
      </w:pPr>
      <w:r>
        <w:rPr>
          <w:rFonts w:hint="eastAsia" w:ascii="楷体_GB2312" w:eastAsia="楷体_GB2312"/>
          <w:kern w:val="2"/>
          <w:sz w:val="32"/>
          <w:szCs w:val="32"/>
        </w:rPr>
        <w:t>（一）本案构成未依法申报违法实施的经营者集中。</w:t>
      </w:r>
    </w:p>
    <w:p>
      <w:pPr>
        <w:keepNext w:val="0"/>
        <w:keepLines w:val="0"/>
        <w:pageBreakBefore w:val="0"/>
        <w:widowControl w:val="0"/>
        <w:kinsoku/>
        <w:wordWrap/>
        <w:topLinePunct w:val="0"/>
        <w:bidi w:val="0"/>
        <w:spacing w:line="594" w:lineRule="exact"/>
        <w:ind w:firstLine="616" w:firstLineChars="196"/>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sz w:val="32"/>
          <w:szCs w:val="32"/>
          <w:lang w:eastAsia="zh-CN"/>
        </w:rPr>
        <w:t>根据</w:t>
      </w:r>
      <w:r>
        <w:rPr>
          <w:rFonts w:hint="default" w:ascii="Times New Roman" w:hAnsi="Times New Roman" w:eastAsia="仿宋_GB2312" w:cs="Times New Roman"/>
          <w:sz w:val="32"/>
          <w:szCs w:val="32"/>
        </w:rPr>
        <w:t>《反垄断法》第二十条</w:t>
      </w:r>
      <w:r>
        <w:rPr>
          <w:rFonts w:hint="default" w:ascii="Times New Roman" w:hAnsi="Times New Roman" w:eastAsia="仿宋_GB2312" w:cs="Times New Roman"/>
          <w:sz w:val="32"/>
          <w:szCs w:val="32"/>
          <w:lang w:eastAsia="zh-CN"/>
        </w:rPr>
        <w:t>规定</w:t>
      </w:r>
      <w:r>
        <w:rPr>
          <w:rFonts w:hint="default" w:ascii="Times New Roman" w:hAnsi="Times New Roman" w:eastAsia="仿宋_GB2312" w:cs="Times New Roman"/>
          <w:sz w:val="32"/>
          <w:szCs w:val="32"/>
          <w:lang w:val="en-US" w:eastAsia="zh-CN"/>
        </w:rPr>
        <w:t>“经营者集中是指下列情形：（一）经营者合并；（二）经营者通过取得股权或者资产的方式取得对其他经营者的控制权；（三）经营者通过合同等方式取得对其他经营者的控制权或者能够对其他经营者施加决定性影响”。</w:t>
      </w:r>
      <w:r>
        <w:rPr>
          <w:rFonts w:hint="default" w:ascii="Times New Roman" w:hAnsi="Times New Roman" w:eastAsia="仿宋_GB2312" w:cs="Times New Roman"/>
          <w:kern w:val="2"/>
          <w:sz w:val="32"/>
          <w:szCs w:val="32"/>
        </w:rPr>
        <w:t>武汉金宇和敦豪北京设立并共同控制合营企业，属于《反垄断法》第</w:t>
      </w:r>
      <w:r>
        <w:rPr>
          <w:rFonts w:hint="eastAsia" w:ascii="Times New Roman" w:hAnsi="Times New Roman" w:eastAsia="仿宋_GB2312" w:cs="Times New Roman"/>
          <w:kern w:val="2"/>
          <w:sz w:val="32"/>
          <w:szCs w:val="32"/>
          <w:lang w:eastAsia="zh-CN"/>
        </w:rPr>
        <w:t>二十</w:t>
      </w:r>
      <w:r>
        <w:rPr>
          <w:rFonts w:hint="default" w:ascii="Times New Roman" w:hAnsi="Times New Roman" w:eastAsia="仿宋_GB2312" w:cs="Times New Roman"/>
          <w:kern w:val="2"/>
          <w:sz w:val="32"/>
          <w:szCs w:val="32"/>
        </w:rPr>
        <w:t>条规定的经营者集中</w:t>
      </w:r>
      <w:r>
        <w:rPr>
          <w:rFonts w:hint="default" w:ascii="Times New Roman" w:hAnsi="Times New Roman" w:eastAsia="仿宋_GB2312" w:cs="Times New Roman"/>
          <w:sz w:val="32"/>
          <w:szCs w:val="32"/>
          <w:lang w:val="en-US" w:eastAsia="zh-CN"/>
        </w:rPr>
        <w:t>。</w:t>
      </w:r>
    </w:p>
    <w:p>
      <w:pPr>
        <w:keepNext w:val="0"/>
        <w:keepLines w:val="0"/>
        <w:pageBreakBefore w:val="0"/>
        <w:widowControl w:val="0"/>
        <w:kinsoku/>
        <w:wordWrap/>
        <w:topLinePunct w:val="0"/>
        <w:bidi w:val="0"/>
        <w:spacing w:line="580" w:lineRule="exact"/>
        <w:ind w:firstLine="628" w:firstLineChars="200"/>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武汉金宇</w:t>
      </w:r>
      <w:r>
        <w:rPr>
          <w:rFonts w:hint="eastAsia" w:eastAsia="仿宋_GB2312" w:cs="Times New Roman"/>
          <w:kern w:val="2"/>
          <w:sz w:val="32"/>
          <w:szCs w:val="32"/>
          <w:lang w:eastAsia="zh-CN"/>
        </w:rPr>
        <w:t>及其关联方</w:t>
      </w:r>
      <w:r>
        <w:rPr>
          <w:rFonts w:hint="default" w:ascii="Times New Roman" w:hAnsi="Times New Roman" w:eastAsia="仿宋_GB2312" w:cs="Times New Roman"/>
          <w:kern w:val="2"/>
          <w:sz w:val="32"/>
          <w:szCs w:val="32"/>
        </w:rPr>
        <w:t>2015年度全球和中国营业额均为</w:t>
      </w:r>
      <w:r>
        <w:rPr>
          <w:rFonts w:hint="eastAsia" w:eastAsia="仿宋_GB2312" w:cs="Times New Roman"/>
          <w:b w:val="0"/>
          <w:bCs/>
          <w:kern w:val="2"/>
          <w:sz w:val="32"/>
          <w:szCs w:val="32"/>
          <w:lang w:val="en-US" w:eastAsia="zh-CN" w:bidi="ar-SA"/>
        </w:rPr>
        <w:t>（略）</w:t>
      </w:r>
      <w:r>
        <w:rPr>
          <w:rFonts w:hint="eastAsia" w:ascii="Times New Roman" w:hAnsi="Times New Roman" w:eastAsia="仿宋_GB2312" w:cs="Times New Roman"/>
          <w:kern w:val="2"/>
          <w:sz w:val="32"/>
          <w:szCs w:val="32"/>
          <w:lang w:eastAsia="zh-CN"/>
        </w:rPr>
        <w:t>，</w:t>
      </w:r>
      <w:r>
        <w:rPr>
          <w:rFonts w:hint="default" w:ascii="Times New Roman" w:hAnsi="Times New Roman" w:eastAsia="仿宋_GB2312" w:cs="Times New Roman"/>
          <w:kern w:val="2"/>
          <w:sz w:val="32"/>
          <w:szCs w:val="32"/>
        </w:rPr>
        <w:t>敦豪北京2015年度全球和中国营业额</w:t>
      </w:r>
      <w:r>
        <w:rPr>
          <w:rFonts w:hint="eastAsia" w:eastAsia="仿宋_GB2312" w:cs="Times New Roman"/>
          <w:kern w:val="2"/>
          <w:sz w:val="32"/>
          <w:szCs w:val="32"/>
          <w:lang w:eastAsia="zh-CN"/>
        </w:rPr>
        <w:t>均</w:t>
      </w:r>
      <w:r>
        <w:rPr>
          <w:rFonts w:hint="default" w:ascii="Times New Roman" w:hAnsi="Times New Roman" w:eastAsia="仿宋_GB2312" w:cs="Times New Roman"/>
          <w:kern w:val="2"/>
          <w:sz w:val="32"/>
          <w:szCs w:val="32"/>
        </w:rPr>
        <w:t>为</w:t>
      </w:r>
      <w:r>
        <w:rPr>
          <w:rFonts w:hint="eastAsia" w:eastAsia="仿宋_GB2312" w:cs="Times New Roman"/>
          <w:b w:val="0"/>
          <w:bCs/>
          <w:kern w:val="2"/>
          <w:sz w:val="32"/>
          <w:szCs w:val="32"/>
          <w:lang w:val="en-US" w:eastAsia="zh-CN" w:bidi="ar-SA"/>
        </w:rPr>
        <w:t>（略）</w:t>
      </w:r>
      <w:r>
        <w:rPr>
          <w:rFonts w:hint="default" w:ascii="Times New Roman" w:hAnsi="Times New Roman" w:eastAsia="仿宋_GB2312" w:cs="Times New Roman"/>
          <w:kern w:val="2"/>
          <w:sz w:val="32"/>
          <w:szCs w:val="32"/>
        </w:rPr>
        <w:t>，达到《国务院关于经营者集中申报标准的规定》第</w:t>
      </w:r>
      <w:r>
        <w:rPr>
          <w:rFonts w:hint="eastAsia" w:ascii="Times New Roman" w:hAnsi="Times New Roman" w:eastAsia="仿宋_GB2312" w:cs="Times New Roman"/>
          <w:kern w:val="2"/>
          <w:sz w:val="32"/>
          <w:szCs w:val="32"/>
          <w:lang w:val="en-US" w:eastAsia="zh-CN"/>
        </w:rPr>
        <w:t>三</w:t>
      </w:r>
      <w:r>
        <w:rPr>
          <w:rFonts w:hint="default" w:ascii="Times New Roman" w:hAnsi="Times New Roman" w:eastAsia="仿宋_GB2312" w:cs="Times New Roman"/>
          <w:kern w:val="2"/>
          <w:sz w:val="32"/>
          <w:szCs w:val="32"/>
        </w:rPr>
        <w:t>条规定的申报标准，属于应当申报的情形。</w:t>
      </w:r>
    </w:p>
    <w:p>
      <w:pPr>
        <w:keepNext w:val="0"/>
        <w:keepLines w:val="0"/>
        <w:pageBreakBefore w:val="0"/>
        <w:widowControl w:val="0"/>
        <w:kinsoku/>
        <w:wordWrap/>
        <w:topLinePunct w:val="0"/>
        <w:bidi w:val="0"/>
        <w:spacing w:line="580" w:lineRule="exact"/>
        <w:ind w:firstLine="616" w:firstLineChars="196"/>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sz w:val="32"/>
          <w:szCs w:val="32"/>
          <w:lang w:eastAsia="zh-CN"/>
        </w:rPr>
        <w:t>根据</w:t>
      </w:r>
      <w:r>
        <w:rPr>
          <w:rFonts w:hint="default" w:ascii="Times New Roman" w:hAnsi="Times New Roman" w:eastAsia="仿宋_GB2312" w:cs="Times New Roman"/>
          <w:sz w:val="32"/>
          <w:szCs w:val="32"/>
        </w:rPr>
        <w:t>《反垄断法》第二十一条</w:t>
      </w:r>
      <w:r>
        <w:rPr>
          <w:rFonts w:hint="default" w:ascii="Times New Roman" w:hAnsi="Times New Roman" w:eastAsia="仿宋_GB2312" w:cs="Times New Roman"/>
          <w:sz w:val="32"/>
          <w:szCs w:val="32"/>
          <w:lang w:eastAsia="zh-CN"/>
        </w:rPr>
        <w:t>规定“经营者集中达到国务院规定的申报标准的，经营者应当事先向国务院反垄断执法机构申报，未申报的不得实施集中”。</w:t>
      </w:r>
      <w:r>
        <w:rPr>
          <w:rFonts w:hint="default" w:ascii="Times New Roman" w:hAnsi="Times New Roman" w:eastAsia="仿宋_GB2312" w:cs="Times New Roman"/>
          <w:kern w:val="2"/>
          <w:sz w:val="32"/>
          <w:szCs w:val="32"/>
        </w:rPr>
        <w:t>2016年12月27日，合营企业取得了营业执照，在此之前未向我局申报，违反《反垄断法》第</w:t>
      </w:r>
      <w:r>
        <w:rPr>
          <w:rFonts w:hint="eastAsia" w:ascii="Times New Roman" w:hAnsi="Times New Roman" w:eastAsia="仿宋_GB2312" w:cs="Times New Roman"/>
          <w:kern w:val="2"/>
          <w:sz w:val="32"/>
          <w:szCs w:val="32"/>
          <w:lang w:val="en-US" w:eastAsia="zh-CN"/>
        </w:rPr>
        <w:t>二十一</w:t>
      </w:r>
      <w:r>
        <w:rPr>
          <w:rFonts w:hint="default" w:ascii="Times New Roman" w:hAnsi="Times New Roman" w:eastAsia="仿宋_GB2312" w:cs="Times New Roman"/>
          <w:kern w:val="2"/>
          <w:sz w:val="32"/>
          <w:szCs w:val="32"/>
        </w:rPr>
        <w:t>条，构成未依法申报的经营者集中。</w:t>
      </w:r>
    </w:p>
    <w:p>
      <w:pPr>
        <w:keepNext w:val="0"/>
        <w:keepLines w:val="0"/>
        <w:pageBreakBefore w:val="0"/>
        <w:widowControl w:val="0"/>
        <w:suppressAutoHyphens/>
        <w:kinsoku/>
        <w:wordWrap/>
        <w:overflowPunct w:val="0"/>
        <w:topLinePunct w:val="0"/>
        <w:autoSpaceDE w:val="0"/>
        <w:autoSpaceDN w:val="0"/>
        <w:bidi w:val="0"/>
        <w:adjustRightInd w:val="0"/>
        <w:spacing w:line="580" w:lineRule="exact"/>
        <w:ind w:firstLine="628" w:firstLineChars="200"/>
        <w:textAlignment w:val="auto"/>
        <w:rPr>
          <w:rFonts w:hint="eastAsia" w:ascii="楷体_GB2312" w:eastAsia="楷体_GB2312"/>
          <w:kern w:val="2"/>
          <w:sz w:val="32"/>
          <w:szCs w:val="32"/>
        </w:rPr>
      </w:pPr>
      <w:r>
        <w:rPr>
          <w:rFonts w:hint="eastAsia" w:ascii="楷体_GB2312" w:eastAsia="楷体_GB2312"/>
          <w:kern w:val="2"/>
          <w:sz w:val="32"/>
          <w:szCs w:val="32"/>
        </w:rPr>
        <w:t>（二）本案不具有排除、限制竞争的效果。</w:t>
      </w:r>
    </w:p>
    <w:p>
      <w:pPr>
        <w:keepNext w:val="0"/>
        <w:keepLines w:val="0"/>
        <w:pageBreakBefore w:val="0"/>
        <w:widowControl w:val="0"/>
        <w:kinsoku/>
        <w:wordWrap/>
        <w:topLinePunct w:val="0"/>
        <w:bidi w:val="0"/>
        <w:spacing w:line="580" w:lineRule="exact"/>
        <w:ind w:firstLine="628" w:firstLineChars="200"/>
        <w:textAlignment w:val="auto"/>
        <w:outlineLvl w:val="0"/>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本机关就武汉金宇和敦豪北京设立合营企业对市场竞争的影响进行了评估，评估认为，该项经营者集中不会产生排除、限制竞争的效果。</w:t>
      </w:r>
    </w:p>
    <w:p>
      <w:pPr>
        <w:keepNext w:val="0"/>
        <w:keepLines w:val="0"/>
        <w:pageBreakBefore w:val="0"/>
        <w:widowControl w:val="0"/>
        <w:suppressAutoHyphens/>
        <w:kinsoku/>
        <w:wordWrap/>
        <w:overflowPunct w:val="0"/>
        <w:topLinePunct w:val="0"/>
        <w:autoSpaceDE w:val="0"/>
        <w:autoSpaceDN w:val="0"/>
        <w:bidi w:val="0"/>
        <w:adjustRightInd w:val="0"/>
        <w:spacing w:line="580" w:lineRule="exact"/>
        <w:ind w:firstLine="628" w:firstLineChars="200"/>
        <w:textAlignment w:val="auto"/>
        <w:rPr>
          <w:rFonts w:hint="eastAsia" w:ascii="楷体_GB2312" w:eastAsia="楷体_GB2312"/>
          <w:kern w:val="2"/>
          <w:sz w:val="32"/>
          <w:szCs w:val="32"/>
          <w:lang w:eastAsia="zh-CN"/>
        </w:rPr>
      </w:pPr>
      <w:r>
        <w:rPr>
          <w:rFonts w:hint="eastAsia" w:ascii="楷体_GB2312" w:eastAsia="楷体_GB2312"/>
          <w:kern w:val="2"/>
          <w:sz w:val="32"/>
          <w:szCs w:val="32"/>
          <w:lang w:eastAsia="zh-CN"/>
        </w:rPr>
        <w:t>（三）当事人的陈述、申辩意见及复核情况。</w:t>
      </w:r>
    </w:p>
    <w:p>
      <w:pPr>
        <w:keepNext w:val="0"/>
        <w:keepLines w:val="0"/>
        <w:pageBreakBefore w:val="0"/>
        <w:widowControl w:val="0"/>
        <w:kinsoku/>
        <w:wordWrap/>
        <w:topLinePunct w:val="0"/>
        <w:bidi w:val="0"/>
        <w:spacing w:line="580" w:lineRule="exact"/>
        <w:ind w:firstLine="628" w:firstLineChars="200"/>
        <w:textAlignment w:val="auto"/>
        <w:outlineLvl w:val="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kern w:val="2"/>
          <w:sz w:val="32"/>
          <w:szCs w:val="32"/>
          <w:lang w:val="en-US" w:eastAsia="zh-CN"/>
        </w:rPr>
        <w:t>针对上述事实，当事人主要提出以下四个方面的意见：</w:t>
      </w:r>
      <w:r>
        <w:rPr>
          <w:rFonts w:hint="eastAsia" w:ascii="仿宋_GB2312" w:hAnsi="仿宋_GB2312" w:eastAsia="仿宋_GB2312" w:cs="仿宋_GB2312"/>
          <w:b w:val="0"/>
          <w:bCs w:val="0"/>
          <w:sz w:val="32"/>
          <w:szCs w:val="32"/>
          <w:lang w:val="en-US" w:eastAsia="zh-CN"/>
        </w:rPr>
        <w:t>一是合营企业自2018年即为100%内资企业，2020年对其进行处罚不适格。二是合营企业设立时武汉金宇尚在建设施工阶段，基本没有营业额。三是设立合营企业增加了市场的竞争主体，自始没有社会危害性。四是因疫情等因素，合营方及合营企业在经营上有诸多困难。</w:t>
      </w:r>
    </w:p>
    <w:p>
      <w:pPr>
        <w:keepNext w:val="0"/>
        <w:keepLines w:val="0"/>
        <w:pageBreakBefore w:val="0"/>
        <w:widowControl w:val="0"/>
        <w:kinsoku/>
        <w:wordWrap/>
        <w:topLinePunct w:val="0"/>
        <w:bidi w:val="0"/>
        <w:spacing w:line="580" w:lineRule="exact"/>
        <w:ind w:firstLine="628" w:firstLineChars="200"/>
        <w:textAlignment w:val="auto"/>
        <w:outlineLvl w:val="0"/>
        <w:rPr>
          <w:rFonts w:hint="eastAsia" w:ascii="Times New Roman" w:hAnsi="Times New Roman" w:eastAsia="仿宋_GB2312" w:cs="Times New Roman"/>
          <w:kern w:val="2"/>
          <w:sz w:val="32"/>
          <w:szCs w:val="32"/>
          <w:lang w:val="en-US" w:eastAsia="zh-CN"/>
        </w:rPr>
      </w:pPr>
      <w:r>
        <w:rPr>
          <w:rFonts w:hint="eastAsia" w:ascii="Times New Roman" w:hAnsi="Times New Roman" w:eastAsia="仿宋_GB2312" w:cs="Times New Roman"/>
          <w:kern w:val="2"/>
          <w:sz w:val="32"/>
          <w:szCs w:val="32"/>
          <w:lang w:val="en-US" w:eastAsia="zh-CN"/>
        </w:rPr>
        <w:t>本机关研究认为，当事人提出的上述意见没有法律依据，或已在调查过程中予以考虑。具体情况如下：</w:t>
      </w:r>
    </w:p>
    <w:p>
      <w:pPr>
        <w:numPr>
          <w:ilvl w:val="0"/>
          <w:numId w:val="0"/>
        </w:numPr>
        <w:spacing w:line="360" w:lineRule="auto"/>
        <w:ind w:firstLine="628" w:firstLineChars="200"/>
        <w:rPr>
          <w:rFonts w:hint="eastAsia" w:ascii="仿宋_GB2312" w:hAnsi="仿宋_GB2312" w:eastAsia="仿宋_GB2312" w:cs="仿宋_GB2312"/>
          <w:b w:val="0"/>
          <w:bCs w:val="0"/>
          <w:sz w:val="32"/>
          <w:szCs w:val="22"/>
          <w:lang w:val="en-US" w:eastAsia="zh-CN"/>
        </w:rPr>
      </w:pPr>
      <w:r>
        <w:rPr>
          <w:rFonts w:hint="eastAsia" w:ascii="仿宋_GB2312" w:hAnsi="仿宋_GB2312" w:eastAsia="仿宋_GB2312" w:cs="仿宋_GB2312"/>
          <w:b w:val="0"/>
          <w:bCs w:val="0"/>
          <w:sz w:val="32"/>
          <w:szCs w:val="32"/>
          <w:lang w:val="en-US" w:eastAsia="zh-CN"/>
        </w:rPr>
        <w:t>关于申报主体的申辩意见。</w:t>
      </w:r>
      <w:r>
        <w:rPr>
          <w:rFonts w:hint="eastAsia" w:ascii="仿宋_GB2312" w:hAnsi="仿宋_GB2312" w:eastAsia="仿宋_GB2312" w:cs="仿宋_GB2312"/>
          <w:b w:val="0"/>
          <w:bCs w:val="0"/>
          <w:sz w:val="32"/>
          <w:szCs w:val="22"/>
          <w:lang w:val="en-US" w:eastAsia="zh-CN"/>
        </w:rPr>
        <w:t>根据《反垄断法》第二十一条规定，经营者集中达到国务院规定的申报标准的，经营者应当事先向国务院反垄断执法机构申报，未申报的不得实施。无论合营企业最终控制人是内资或是外资，均应依法予以申报。</w:t>
      </w:r>
    </w:p>
    <w:p>
      <w:pPr>
        <w:numPr>
          <w:ilvl w:val="0"/>
          <w:numId w:val="0"/>
        </w:numPr>
        <w:spacing w:line="360" w:lineRule="auto"/>
        <w:ind w:firstLine="628" w:firstLineChars="200"/>
        <w:rPr>
          <w:rFonts w:hint="eastAsia" w:ascii="仿宋_GB2312" w:hAnsi="仿宋_GB2312" w:eastAsia="仿宋_GB2312" w:cs="仿宋_GB2312"/>
          <w:b w:val="0"/>
          <w:bCs w:val="0"/>
          <w:sz w:val="32"/>
          <w:szCs w:val="22"/>
          <w:lang w:val="en-US" w:eastAsia="zh-CN"/>
        </w:rPr>
      </w:pPr>
      <w:r>
        <w:rPr>
          <w:rFonts w:hint="eastAsia" w:ascii="仿宋_GB2312" w:hAnsi="仿宋_GB2312" w:eastAsia="仿宋_GB2312" w:cs="仿宋_GB2312"/>
          <w:b w:val="0"/>
          <w:bCs w:val="0"/>
          <w:sz w:val="32"/>
          <w:szCs w:val="32"/>
          <w:lang w:val="en-US" w:eastAsia="zh-CN"/>
        </w:rPr>
        <w:t>关于武汉金宇营业额的申辩意见。</w:t>
      </w:r>
      <w:r>
        <w:rPr>
          <w:rFonts w:hint="eastAsia" w:ascii="仿宋_GB2312" w:hAnsi="仿宋_GB2312" w:eastAsia="仿宋_GB2312" w:cs="仿宋_GB2312"/>
          <w:b w:val="0"/>
          <w:bCs w:val="0"/>
          <w:sz w:val="32"/>
          <w:szCs w:val="22"/>
          <w:lang w:val="en-US" w:eastAsia="zh-CN"/>
        </w:rPr>
        <w:t>根据武汉金宇提供的书面材料，其最终控制人为</w:t>
      </w:r>
      <w:r>
        <w:rPr>
          <w:rFonts w:hint="eastAsia" w:eastAsia="仿宋_GB2312" w:cs="Times New Roman"/>
          <w:b w:val="0"/>
          <w:bCs w:val="0"/>
          <w:kern w:val="2"/>
          <w:sz w:val="32"/>
          <w:szCs w:val="32"/>
          <w:lang w:val="en-US" w:eastAsia="zh-CN" w:bidi="ar-SA"/>
        </w:rPr>
        <w:t>（略）</w:t>
      </w:r>
      <w:r>
        <w:rPr>
          <w:rFonts w:hint="eastAsia" w:ascii="仿宋_GB2312" w:hAnsi="仿宋_GB2312" w:eastAsia="仿宋_GB2312" w:cs="仿宋_GB2312"/>
          <w:b w:val="0"/>
          <w:bCs w:val="0"/>
          <w:sz w:val="32"/>
          <w:szCs w:val="22"/>
          <w:lang w:val="en-US" w:eastAsia="zh-CN"/>
        </w:rPr>
        <w:t>。根据</w:t>
      </w:r>
      <w:r>
        <w:rPr>
          <w:rFonts w:hint="eastAsia" w:eastAsia="仿宋_GB2312" w:cs="Times New Roman"/>
          <w:b w:val="0"/>
          <w:bCs w:val="0"/>
          <w:kern w:val="2"/>
          <w:sz w:val="32"/>
          <w:szCs w:val="32"/>
          <w:lang w:val="en-US" w:eastAsia="zh-CN" w:bidi="ar-SA"/>
        </w:rPr>
        <w:t>（略）</w:t>
      </w:r>
      <w:r>
        <w:rPr>
          <w:rFonts w:hint="eastAsia" w:ascii="仿宋_GB2312" w:hAnsi="仿宋_GB2312" w:eastAsia="仿宋_GB2312" w:cs="仿宋_GB2312"/>
          <w:b w:val="0"/>
          <w:bCs w:val="0"/>
          <w:sz w:val="32"/>
          <w:szCs w:val="22"/>
          <w:lang w:val="en-US" w:eastAsia="zh-CN"/>
        </w:rPr>
        <w:t>2015年度审计报告，其营业额为</w:t>
      </w:r>
      <w:r>
        <w:rPr>
          <w:rFonts w:hint="eastAsia" w:eastAsia="仿宋_GB2312" w:cs="Times New Roman"/>
          <w:b w:val="0"/>
          <w:bCs w:val="0"/>
          <w:kern w:val="2"/>
          <w:sz w:val="32"/>
          <w:szCs w:val="32"/>
          <w:lang w:val="en-US" w:eastAsia="zh-CN" w:bidi="ar-SA"/>
        </w:rPr>
        <w:t>（略）</w:t>
      </w:r>
      <w:r>
        <w:rPr>
          <w:rFonts w:hint="eastAsia" w:ascii="仿宋_GB2312" w:hAnsi="仿宋_GB2312" w:eastAsia="仿宋_GB2312" w:cs="仿宋_GB2312"/>
          <w:b w:val="0"/>
          <w:bCs w:val="0"/>
          <w:sz w:val="32"/>
          <w:szCs w:val="22"/>
          <w:lang w:val="en-US" w:eastAsia="zh-CN"/>
        </w:rPr>
        <w:t>，达到了《国务院关于经营者集中申报标准的规定》第三条规定的申报标准。</w:t>
      </w:r>
    </w:p>
    <w:p>
      <w:pPr>
        <w:numPr>
          <w:ilvl w:val="0"/>
          <w:numId w:val="0"/>
        </w:numPr>
        <w:spacing w:line="360" w:lineRule="auto"/>
        <w:ind w:firstLine="628" w:firstLineChars="200"/>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b w:val="0"/>
          <w:bCs w:val="0"/>
          <w:sz w:val="32"/>
          <w:szCs w:val="32"/>
          <w:lang w:val="en-US" w:eastAsia="zh-CN"/>
        </w:rPr>
        <w:t>关于竞争评估及疫情影响等申辩意见。</w:t>
      </w:r>
      <w:r>
        <w:rPr>
          <w:rFonts w:hint="eastAsia" w:ascii="仿宋_GB2312" w:hAnsi="仿宋_GB2312" w:eastAsia="仿宋_GB2312" w:cs="仿宋_GB2312"/>
          <w:b w:val="0"/>
          <w:bCs w:val="0"/>
          <w:sz w:val="32"/>
          <w:szCs w:val="22"/>
          <w:lang w:val="en-US" w:eastAsia="zh-CN"/>
        </w:rPr>
        <w:t>当</w:t>
      </w:r>
      <w:r>
        <w:rPr>
          <w:rFonts w:hint="eastAsia" w:ascii="仿宋_GB2312" w:hAnsi="仿宋_GB2312" w:eastAsia="仿宋_GB2312" w:cs="仿宋_GB2312"/>
          <w:sz w:val="32"/>
          <w:szCs w:val="22"/>
          <w:lang w:val="en-US" w:eastAsia="zh-CN"/>
        </w:rPr>
        <w:t>事人提出的相关因素本机关已在调查过程中予以充分考虑。首先，</w:t>
      </w:r>
      <w:r>
        <w:rPr>
          <w:rFonts w:hint="eastAsia" w:ascii="仿宋_GB2312" w:hAnsi="仿宋_GB2312" w:eastAsia="仿宋_GB2312" w:cs="仿宋_GB2312"/>
          <w:kern w:val="2"/>
          <w:sz w:val="32"/>
          <w:szCs w:val="32"/>
          <w:lang w:eastAsia="zh-CN"/>
        </w:rPr>
        <w:t>竞争评估显示</w:t>
      </w:r>
      <w:r>
        <w:rPr>
          <w:rFonts w:hint="eastAsia" w:ascii="仿宋_GB2312" w:hAnsi="仿宋_GB2312" w:eastAsia="仿宋_GB2312" w:cs="仿宋_GB2312"/>
          <w:kern w:val="2"/>
          <w:sz w:val="32"/>
          <w:szCs w:val="32"/>
        </w:rPr>
        <w:t>该项经营者集中不会产生排除、限制竞争的效果。</w:t>
      </w:r>
      <w:r>
        <w:rPr>
          <w:rFonts w:hint="eastAsia" w:ascii="仿宋_GB2312" w:hAnsi="仿宋_GB2312" w:eastAsia="仿宋_GB2312" w:cs="仿宋_GB2312"/>
          <w:kern w:val="2"/>
          <w:sz w:val="32"/>
          <w:szCs w:val="32"/>
          <w:lang w:eastAsia="zh-CN"/>
        </w:rPr>
        <w:t>其次，在调查过程中已充分考虑新冠肺炎疫情对企业的影响，包括：</w:t>
      </w:r>
      <w:r>
        <w:rPr>
          <w:rFonts w:hint="eastAsia" w:ascii="仿宋_GB2312" w:hAnsi="仿宋_GB2312" w:eastAsia="仿宋_GB2312" w:cs="仿宋_GB2312"/>
          <w:kern w:val="2"/>
          <w:sz w:val="32"/>
          <w:szCs w:val="32"/>
          <w:lang w:val="en-US" w:eastAsia="zh-CN"/>
        </w:rPr>
        <w:t>1.</w:t>
      </w:r>
      <w:r>
        <w:rPr>
          <w:rFonts w:hint="eastAsia" w:ascii="仿宋_GB2312" w:hAnsi="仿宋_GB2312" w:eastAsia="仿宋_GB2312" w:cs="仿宋_GB2312"/>
          <w:kern w:val="2"/>
          <w:sz w:val="32"/>
          <w:szCs w:val="32"/>
          <w:lang w:eastAsia="zh-CN"/>
        </w:rPr>
        <w:t>疫情期间同意当事人暂缓提供补充材料；</w:t>
      </w:r>
      <w:r>
        <w:rPr>
          <w:rFonts w:hint="eastAsia" w:ascii="仿宋_GB2312" w:hAnsi="仿宋_GB2312" w:eastAsia="仿宋_GB2312" w:cs="仿宋_GB2312"/>
          <w:kern w:val="2"/>
          <w:sz w:val="32"/>
          <w:szCs w:val="32"/>
          <w:lang w:val="en-US" w:eastAsia="zh-CN"/>
        </w:rPr>
        <w:t>2.</w:t>
      </w:r>
      <w:r>
        <w:rPr>
          <w:rFonts w:hint="eastAsia" w:ascii="仿宋_GB2312" w:hAnsi="仿宋_GB2312" w:eastAsia="仿宋_GB2312" w:cs="仿宋_GB2312"/>
          <w:kern w:val="2"/>
          <w:sz w:val="32"/>
          <w:szCs w:val="32"/>
          <w:lang w:eastAsia="zh-CN"/>
        </w:rPr>
        <w:t>当事人因收集市场竞争状况相关数据存在困难未能提供材料的情况下，本机关通过其他方式对市场竞争状况予以调查核实；</w:t>
      </w:r>
      <w:r>
        <w:rPr>
          <w:rFonts w:hint="eastAsia" w:ascii="仿宋_GB2312" w:hAnsi="仿宋_GB2312" w:eastAsia="仿宋_GB2312" w:cs="仿宋_GB2312"/>
          <w:kern w:val="2"/>
          <w:sz w:val="32"/>
          <w:szCs w:val="32"/>
          <w:lang w:val="en-US" w:eastAsia="zh-CN"/>
        </w:rPr>
        <w:t>3.在确定罚款金额和处罚时间时</w:t>
      </w:r>
      <w:r>
        <w:rPr>
          <w:rFonts w:hint="eastAsia" w:ascii="仿宋_GB2312" w:hAnsi="仿宋_GB2312" w:eastAsia="仿宋_GB2312" w:cs="仿宋_GB2312"/>
          <w:kern w:val="2"/>
          <w:sz w:val="32"/>
          <w:szCs w:val="32"/>
          <w:lang w:eastAsia="zh-CN"/>
        </w:rPr>
        <w:t>充分考虑了疫情影响、支持武汉企业复工复产以及企业诉求等因素。</w:t>
      </w:r>
      <w:r>
        <w:rPr>
          <w:rFonts w:hint="eastAsia" w:eastAsia="仿宋_GB2312" w:cs="Times New Roman"/>
          <w:b w:val="0"/>
          <w:bCs/>
          <w:kern w:val="2"/>
          <w:sz w:val="32"/>
          <w:szCs w:val="32"/>
          <w:lang w:val="en-US" w:eastAsia="zh-CN" w:bidi="ar-SA"/>
        </w:rPr>
        <w:t>（略）</w:t>
      </w:r>
    </w:p>
    <w:p>
      <w:pPr>
        <w:keepNext w:val="0"/>
        <w:keepLines w:val="0"/>
        <w:pageBreakBefore w:val="0"/>
        <w:widowControl w:val="0"/>
        <w:suppressAutoHyphens/>
        <w:kinsoku/>
        <w:wordWrap/>
        <w:overflowPunct w:val="0"/>
        <w:topLinePunct w:val="0"/>
        <w:autoSpaceDE w:val="0"/>
        <w:autoSpaceDN w:val="0"/>
        <w:bidi w:val="0"/>
        <w:adjustRightInd w:val="0"/>
        <w:spacing w:line="580" w:lineRule="exact"/>
        <w:ind w:firstLine="628" w:firstLineChars="200"/>
        <w:textAlignment w:val="auto"/>
        <w:rPr>
          <w:rFonts w:hint="eastAsia" w:ascii="黑体" w:hAnsi="黑体" w:eastAsia="黑体"/>
          <w:kern w:val="2"/>
          <w:sz w:val="32"/>
          <w:szCs w:val="32"/>
        </w:rPr>
      </w:pPr>
      <w:r>
        <w:rPr>
          <w:rFonts w:hint="eastAsia" w:ascii="黑体" w:hAnsi="黑体" w:eastAsia="黑体"/>
          <w:kern w:val="2"/>
          <w:sz w:val="32"/>
          <w:szCs w:val="32"/>
        </w:rPr>
        <w:t>三、行政处罚依据和决定</w:t>
      </w:r>
    </w:p>
    <w:p>
      <w:pPr>
        <w:keepNext w:val="0"/>
        <w:keepLines w:val="0"/>
        <w:pageBreakBefore w:val="0"/>
        <w:widowControl w:val="0"/>
        <w:kinsoku/>
        <w:wordWrap/>
        <w:topLinePunct w:val="0"/>
        <w:bidi w:val="0"/>
        <w:spacing w:line="580" w:lineRule="exact"/>
        <w:ind w:firstLine="616" w:firstLineChars="196"/>
        <w:textAlignment w:val="auto"/>
        <w:rPr>
          <w:rFonts w:hint="default" w:ascii="Times New Roman" w:hAnsi="Times New Roman" w:eastAsia="仿宋_GB2312" w:cs="Times New Roman"/>
          <w:bCs/>
          <w:color w:val="000000"/>
          <w:kern w:val="2"/>
          <w:sz w:val="32"/>
          <w:szCs w:val="32"/>
          <w:lang w:eastAsia="zh-CN"/>
        </w:rPr>
      </w:pPr>
      <w:r>
        <w:rPr>
          <w:rFonts w:hint="default" w:ascii="Times New Roman" w:hAnsi="Times New Roman" w:eastAsia="仿宋_GB2312" w:cs="Times New Roman"/>
          <w:bCs/>
          <w:color w:val="000000"/>
          <w:kern w:val="2"/>
          <w:sz w:val="32"/>
          <w:szCs w:val="32"/>
        </w:rPr>
        <w:t>《反垄断法》第四十八条</w:t>
      </w:r>
      <w:r>
        <w:rPr>
          <w:rFonts w:hint="default" w:ascii="Times New Roman" w:hAnsi="Times New Roman" w:eastAsia="仿宋_GB2312" w:cs="Times New Roman"/>
          <w:bCs/>
          <w:color w:val="000000"/>
          <w:kern w:val="2"/>
          <w:sz w:val="32"/>
          <w:szCs w:val="32"/>
          <w:lang w:eastAsia="zh-CN"/>
        </w:rPr>
        <w:t>规定“经营者违反本法规定实施集中的，由国务院反垄断执法机构责令停止实施集中、限期处分股份或者资产、限期转让营业以及采取其他必要措施恢复到集中前的状态，可以处五十万元以下的罚款”。</w:t>
      </w:r>
      <w:r>
        <w:rPr>
          <w:rFonts w:hint="default" w:ascii="Times New Roman" w:hAnsi="Times New Roman" w:eastAsia="仿宋_GB2312" w:cs="Times New Roman"/>
          <w:bCs/>
          <w:color w:val="000000"/>
          <w:kern w:val="2"/>
          <w:sz w:val="32"/>
          <w:szCs w:val="32"/>
        </w:rPr>
        <w:t>《反垄断法》第四十九条</w:t>
      </w:r>
      <w:r>
        <w:rPr>
          <w:rFonts w:hint="default" w:ascii="Times New Roman" w:hAnsi="Times New Roman" w:eastAsia="仿宋_GB2312" w:cs="Times New Roman"/>
          <w:bCs/>
          <w:color w:val="000000"/>
          <w:kern w:val="2"/>
          <w:sz w:val="32"/>
          <w:szCs w:val="32"/>
          <w:lang w:eastAsia="zh-CN"/>
        </w:rPr>
        <w:t>规定“对本法第四十六条、第四十七条、第四十八条规定的罚款，反垄断执法机构确定具体罚款数额时，应当考虑违法行为的性质、程度和持续的时间等因素”。</w:t>
      </w:r>
    </w:p>
    <w:p>
      <w:pPr>
        <w:keepNext w:val="0"/>
        <w:keepLines w:val="0"/>
        <w:pageBreakBefore w:val="0"/>
        <w:widowControl w:val="0"/>
        <w:suppressAutoHyphens/>
        <w:kinsoku/>
        <w:wordWrap/>
        <w:overflowPunct w:val="0"/>
        <w:topLinePunct w:val="0"/>
        <w:autoSpaceDE w:val="0"/>
        <w:autoSpaceDN w:val="0"/>
        <w:bidi w:val="0"/>
        <w:adjustRightInd w:val="0"/>
        <w:spacing w:line="580" w:lineRule="exact"/>
        <w:ind w:firstLine="628" w:firstLineChars="200"/>
        <w:textAlignment w:val="auto"/>
        <w:rPr>
          <w:rFonts w:hint="default" w:ascii="Times New Roman" w:hAnsi="Times New Roman" w:eastAsia="仿宋_GB2312" w:cs="Times New Roman"/>
          <w:bCs/>
          <w:color w:val="000000"/>
          <w:kern w:val="2"/>
          <w:sz w:val="32"/>
          <w:szCs w:val="32"/>
        </w:rPr>
      </w:pPr>
      <w:r>
        <w:rPr>
          <w:rFonts w:hint="default" w:ascii="Times New Roman" w:hAnsi="Times New Roman" w:eastAsia="仿宋_GB2312" w:cs="Times New Roman"/>
          <w:bCs/>
          <w:color w:val="000000"/>
          <w:kern w:val="2"/>
          <w:sz w:val="32"/>
          <w:szCs w:val="32"/>
        </w:rPr>
        <w:t>根据</w:t>
      </w:r>
      <w:r>
        <w:rPr>
          <w:rFonts w:hint="default" w:ascii="Times New Roman" w:hAnsi="Times New Roman" w:eastAsia="仿宋_GB2312" w:cs="Times New Roman"/>
          <w:bCs/>
          <w:color w:val="000000"/>
          <w:kern w:val="2"/>
          <w:sz w:val="32"/>
          <w:szCs w:val="32"/>
          <w:lang w:eastAsia="zh-CN"/>
        </w:rPr>
        <w:t>上述规定，</w:t>
      </w:r>
      <w:r>
        <w:rPr>
          <w:rFonts w:hint="default" w:ascii="Times New Roman" w:hAnsi="Times New Roman" w:eastAsia="仿宋_GB2312" w:cs="Times New Roman"/>
          <w:bCs/>
          <w:color w:val="000000"/>
          <w:kern w:val="2"/>
          <w:sz w:val="32"/>
          <w:szCs w:val="32"/>
        </w:rPr>
        <w:t>基于调查情况和评估结论，</w:t>
      </w:r>
      <w:r>
        <w:rPr>
          <w:rFonts w:hint="eastAsia" w:eastAsia="仿宋_GB2312" w:cs="Times New Roman"/>
          <w:bCs/>
          <w:color w:val="000000"/>
          <w:kern w:val="2"/>
          <w:sz w:val="32"/>
          <w:szCs w:val="32"/>
          <w:lang w:eastAsia="zh-CN"/>
        </w:rPr>
        <w:t>考虑到疫情对企业造成的实际影响、合营方及合营企业在抗击疫情中发挥的积极作用以及支持武汉企业复工复产和经营发展等因素，</w:t>
      </w:r>
      <w:r>
        <w:rPr>
          <w:rFonts w:hint="default" w:ascii="Times New Roman" w:hAnsi="Times New Roman" w:eastAsia="仿宋_GB2312" w:cs="Times New Roman"/>
          <w:bCs/>
          <w:color w:val="000000"/>
          <w:kern w:val="2"/>
          <w:sz w:val="32"/>
          <w:szCs w:val="32"/>
        </w:rPr>
        <w:t>本机关</w:t>
      </w:r>
      <w:r>
        <w:rPr>
          <w:rFonts w:hint="eastAsia" w:eastAsia="仿宋_GB2312" w:cs="Times New Roman"/>
          <w:bCs/>
          <w:color w:val="000000"/>
          <w:kern w:val="2"/>
          <w:sz w:val="32"/>
          <w:szCs w:val="32"/>
          <w:lang w:eastAsia="zh-CN"/>
        </w:rPr>
        <w:t>分别</w:t>
      </w:r>
      <w:r>
        <w:rPr>
          <w:rFonts w:hint="default" w:ascii="Times New Roman" w:hAnsi="Times New Roman" w:eastAsia="仿宋_GB2312" w:cs="Times New Roman"/>
          <w:bCs/>
          <w:color w:val="000000"/>
          <w:kern w:val="2"/>
          <w:sz w:val="32"/>
          <w:szCs w:val="32"/>
        </w:rPr>
        <w:t>给予武汉金宇和敦豪北京15万元罚款的行政处罚。</w:t>
      </w:r>
    </w:p>
    <w:p>
      <w:pPr>
        <w:keepNext w:val="0"/>
        <w:keepLines w:val="0"/>
        <w:pageBreakBefore w:val="0"/>
        <w:widowControl w:val="0"/>
        <w:suppressAutoHyphens/>
        <w:kinsoku/>
        <w:wordWrap/>
        <w:overflowPunct w:val="0"/>
        <w:topLinePunct w:val="0"/>
        <w:autoSpaceDE w:val="0"/>
        <w:autoSpaceDN w:val="0"/>
        <w:bidi w:val="0"/>
        <w:adjustRightInd w:val="0"/>
        <w:spacing w:line="580" w:lineRule="exact"/>
        <w:ind w:firstLine="628" w:firstLineChars="200"/>
        <w:textAlignment w:val="auto"/>
        <w:rPr>
          <w:rFonts w:hint="eastAsia" w:eastAsia="仿宋_GB2312"/>
          <w:kern w:val="2"/>
          <w:sz w:val="32"/>
          <w:szCs w:val="32"/>
          <w:lang w:eastAsia="zh-CN"/>
        </w:rPr>
      </w:pPr>
      <w:r>
        <w:rPr>
          <w:rFonts w:hint="eastAsia" w:eastAsia="仿宋_GB2312"/>
          <w:kern w:val="2"/>
          <w:sz w:val="32"/>
          <w:szCs w:val="32"/>
        </w:rPr>
        <w:t>《行政处罚法》第四十六条规定</w:t>
      </w:r>
      <w:r>
        <w:rPr>
          <w:rFonts w:hint="eastAsia" w:eastAsia="仿宋_GB2312"/>
          <w:kern w:val="2"/>
          <w:sz w:val="32"/>
          <w:szCs w:val="32"/>
          <w:lang w:eastAsia="zh-CN"/>
        </w:rPr>
        <w:t>“作出罚款决定的行政机关应当与收缴罚款的机构分离。除依照本法第四十七条、第四十八条的规定当场收缴的罚款外，作出行政处罚决定的行政机关及其执法人员不得自行收缴罚款。当事人应当自收到行政处罚决定书之日起十五日内，到指定的银行缴纳罚款。银行应当收受罚款，并将罚款直接上缴国库”。</w:t>
      </w:r>
    </w:p>
    <w:p>
      <w:pPr>
        <w:keepNext w:val="0"/>
        <w:keepLines w:val="0"/>
        <w:pageBreakBefore w:val="0"/>
        <w:widowControl w:val="0"/>
        <w:suppressAutoHyphens/>
        <w:kinsoku/>
        <w:wordWrap/>
        <w:overflowPunct w:val="0"/>
        <w:topLinePunct w:val="0"/>
        <w:autoSpaceDE w:val="0"/>
        <w:autoSpaceDN w:val="0"/>
        <w:bidi w:val="0"/>
        <w:adjustRightInd w:val="0"/>
        <w:spacing w:line="580" w:lineRule="exact"/>
        <w:ind w:firstLine="628" w:firstLineChars="200"/>
        <w:textAlignment w:val="auto"/>
        <w:rPr>
          <w:rFonts w:hint="eastAsia" w:eastAsia="仿宋_GB2312" w:cs="Times New Roman"/>
          <w:b w:val="0"/>
          <w:bCs/>
          <w:kern w:val="2"/>
          <w:sz w:val="32"/>
          <w:szCs w:val="32"/>
          <w:lang w:val="en-US" w:eastAsia="zh-CN" w:bidi="ar-SA"/>
        </w:rPr>
      </w:pPr>
      <w:r>
        <w:rPr>
          <w:rFonts w:hint="eastAsia" w:eastAsia="仿宋_GB2312"/>
          <w:kern w:val="2"/>
          <w:sz w:val="32"/>
          <w:szCs w:val="32"/>
        </w:rPr>
        <w:t>当事</w:t>
      </w:r>
      <w:r>
        <w:rPr>
          <w:rFonts w:hint="eastAsia" w:eastAsia="仿宋_GB2312"/>
          <w:kern w:val="2"/>
          <w:sz w:val="32"/>
          <w:szCs w:val="32"/>
          <w:lang w:eastAsia="zh-CN"/>
        </w:rPr>
        <w:t>人</w:t>
      </w:r>
      <w:r>
        <w:rPr>
          <w:rFonts w:hint="eastAsia" w:eastAsia="仿宋_GB2312"/>
          <w:kern w:val="2"/>
          <w:sz w:val="32"/>
          <w:szCs w:val="32"/>
        </w:rPr>
        <w:t>应当自收到本行政处罚决定书之日起十五日内，根据本行政处罚决定书，携缴款码到12家中央财政非税收入收缴代理银行（工、农、中、建、交、中信、光大、招商、邮储、华夏、平安、兴业）任一银行网点或者网上银行交纳罚款。</w:t>
      </w:r>
      <w:r>
        <w:rPr>
          <w:rFonts w:hint="eastAsia" w:eastAsia="仿宋_GB2312"/>
          <w:kern w:val="2"/>
          <w:sz w:val="32"/>
          <w:szCs w:val="32"/>
          <w:highlight w:val="none"/>
        </w:rPr>
        <w:t>缴款码：</w:t>
      </w:r>
      <w:r>
        <w:rPr>
          <w:rFonts w:hint="eastAsia" w:eastAsia="仿宋_GB2312" w:cs="Times New Roman"/>
          <w:b w:val="0"/>
          <w:bCs/>
          <w:kern w:val="2"/>
          <w:sz w:val="32"/>
          <w:szCs w:val="32"/>
          <w:lang w:val="en-US" w:eastAsia="zh-CN" w:bidi="ar-SA"/>
        </w:rPr>
        <w:t>（略）</w:t>
      </w:r>
    </w:p>
    <w:p>
      <w:pPr>
        <w:keepNext w:val="0"/>
        <w:keepLines w:val="0"/>
        <w:pageBreakBefore w:val="0"/>
        <w:widowControl w:val="0"/>
        <w:suppressAutoHyphens/>
        <w:kinsoku/>
        <w:wordWrap/>
        <w:overflowPunct w:val="0"/>
        <w:topLinePunct w:val="0"/>
        <w:autoSpaceDE w:val="0"/>
        <w:autoSpaceDN w:val="0"/>
        <w:bidi w:val="0"/>
        <w:adjustRightInd w:val="0"/>
        <w:spacing w:line="580" w:lineRule="exact"/>
        <w:ind w:firstLine="628" w:firstLineChars="200"/>
        <w:textAlignment w:val="auto"/>
        <w:rPr>
          <w:rFonts w:hint="eastAsia" w:eastAsia="仿宋_GB2312"/>
          <w:kern w:val="2"/>
          <w:sz w:val="32"/>
          <w:szCs w:val="32"/>
        </w:rPr>
      </w:pPr>
      <w:r>
        <w:rPr>
          <w:rFonts w:hint="eastAsia" w:eastAsia="仿宋_GB2312"/>
          <w:kern w:val="2"/>
          <w:sz w:val="32"/>
          <w:szCs w:val="32"/>
        </w:rPr>
        <w:t>当事</w:t>
      </w:r>
      <w:r>
        <w:rPr>
          <w:rFonts w:hint="eastAsia" w:eastAsia="仿宋_GB2312"/>
          <w:kern w:val="2"/>
          <w:sz w:val="32"/>
          <w:szCs w:val="32"/>
          <w:lang w:eastAsia="zh-CN"/>
        </w:rPr>
        <w:t>人</w:t>
      </w:r>
      <w:r>
        <w:rPr>
          <w:rFonts w:hint="eastAsia" w:eastAsia="仿宋_GB2312"/>
          <w:kern w:val="2"/>
          <w:sz w:val="32"/>
          <w:szCs w:val="32"/>
        </w:rPr>
        <w:t xml:space="preserve">如对上述行政处罚决定不服，可以自收到本行政处罚决定书之日起六十日内，向国家市场监督管理总局申请行政复议；或者自收到本行政处罚决定书之日起六个月内，依法向人民法院提起行政诉讼。行政复议或者行政诉讼期间，本行政处罚决定不停止执行。 </w:t>
      </w:r>
    </w:p>
    <w:p>
      <w:pPr>
        <w:keepNext w:val="0"/>
        <w:keepLines w:val="0"/>
        <w:pageBreakBefore w:val="0"/>
        <w:widowControl w:val="0"/>
        <w:kinsoku/>
        <w:wordWrap/>
        <w:topLinePunct w:val="0"/>
        <w:bidi w:val="0"/>
        <w:snapToGrid w:val="0"/>
        <w:spacing w:line="580" w:lineRule="exact"/>
        <w:ind w:firstLine="5433" w:firstLineChars="1730"/>
        <w:textAlignment w:val="auto"/>
        <w:rPr>
          <w:rFonts w:hint="eastAsia" w:eastAsia="仿宋_GB2312"/>
          <w:kern w:val="2"/>
          <w:sz w:val="32"/>
          <w:szCs w:val="32"/>
        </w:rPr>
      </w:pPr>
    </w:p>
    <w:p>
      <w:pPr>
        <w:keepNext w:val="0"/>
        <w:keepLines w:val="0"/>
        <w:pageBreakBefore w:val="0"/>
        <w:widowControl w:val="0"/>
        <w:kinsoku/>
        <w:wordWrap/>
        <w:topLinePunct w:val="0"/>
        <w:bidi w:val="0"/>
        <w:snapToGrid w:val="0"/>
        <w:spacing w:line="580" w:lineRule="exact"/>
        <w:ind w:firstLine="5433" w:firstLineChars="1730"/>
        <w:textAlignment w:val="auto"/>
        <w:rPr>
          <w:rFonts w:hint="eastAsia" w:eastAsia="仿宋_GB2312"/>
          <w:kern w:val="2"/>
          <w:sz w:val="32"/>
          <w:szCs w:val="32"/>
        </w:rPr>
      </w:pPr>
      <w:r>
        <w:rPr>
          <w:rFonts w:hint="eastAsia" w:eastAsia="仿宋_GB2312"/>
          <w:kern w:val="2"/>
          <w:sz w:val="32"/>
          <w:szCs w:val="32"/>
        </w:rPr>
        <w:t>市场监管总局</w:t>
      </w:r>
    </w:p>
    <w:p>
      <w:pPr>
        <w:keepNext w:val="0"/>
        <w:keepLines w:val="0"/>
        <w:pageBreakBefore w:val="0"/>
        <w:widowControl w:val="0"/>
        <w:kinsoku/>
        <w:wordWrap/>
        <w:topLinePunct w:val="0"/>
        <w:bidi w:val="0"/>
        <w:snapToGrid w:val="0"/>
        <w:spacing w:line="580" w:lineRule="exact"/>
        <w:ind w:firstLine="5225" w:firstLineChars="1664"/>
        <w:textAlignment w:val="auto"/>
        <w:rPr>
          <w:rFonts w:eastAsia="仿宋_GB2312"/>
          <w:kern w:val="2"/>
          <w:sz w:val="32"/>
          <w:szCs w:val="32"/>
        </w:rPr>
      </w:pPr>
      <w:r>
        <w:rPr>
          <w:rFonts w:hint="eastAsia" w:eastAsia="仿宋_GB2312"/>
          <w:kern w:val="2"/>
          <w:sz w:val="32"/>
          <w:szCs w:val="32"/>
        </w:rPr>
        <w:t>202</w:t>
      </w:r>
      <w:r>
        <w:rPr>
          <w:rFonts w:hint="eastAsia" w:eastAsia="仿宋_GB2312"/>
          <w:kern w:val="2"/>
          <w:sz w:val="32"/>
          <w:szCs w:val="32"/>
          <w:lang w:val="en-US" w:eastAsia="zh-CN"/>
        </w:rPr>
        <w:t>1</w:t>
      </w:r>
      <w:r>
        <w:rPr>
          <w:rFonts w:hint="eastAsia" w:eastAsia="仿宋_GB2312"/>
          <w:kern w:val="2"/>
          <w:sz w:val="32"/>
          <w:szCs w:val="32"/>
        </w:rPr>
        <w:t>年</w:t>
      </w:r>
      <w:r>
        <w:rPr>
          <w:rFonts w:hint="eastAsia" w:eastAsia="仿宋_GB2312"/>
          <w:kern w:val="2"/>
          <w:sz w:val="32"/>
          <w:szCs w:val="32"/>
          <w:lang w:val="en-US" w:eastAsia="zh-CN"/>
        </w:rPr>
        <w:t>2</w:t>
      </w:r>
      <w:r>
        <w:rPr>
          <w:rFonts w:hint="eastAsia" w:eastAsia="仿宋_GB2312"/>
          <w:kern w:val="2"/>
          <w:sz w:val="32"/>
          <w:szCs w:val="32"/>
        </w:rPr>
        <w:t>月</w:t>
      </w:r>
      <w:r>
        <w:rPr>
          <w:rFonts w:hint="eastAsia" w:eastAsia="仿宋_GB2312"/>
          <w:kern w:val="2"/>
          <w:sz w:val="32"/>
          <w:szCs w:val="32"/>
          <w:lang w:val="en-US" w:eastAsia="zh-CN"/>
        </w:rPr>
        <w:t>24</w:t>
      </w:r>
      <w:r>
        <w:rPr>
          <w:rFonts w:hint="eastAsia" w:eastAsia="仿宋_GB2312"/>
          <w:kern w:val="2"/>
          <w:sz w:val="32"/>
          <w:szCs w:val="32"/>
        </w:rPr>
        <w:t>日</w:t>
      </w:r>
    </w:p>
    <w:p>
      <w:pPr>
        <w:keepNext w:val="0"/>
        <w:keepLines w:val="0"/>
        <w:pageBreakBefore w:val="0"/>
        <w:widowControl w:val="0"/>
        <w:kinsoku/>
        <w:wordWrap/>
        <w:topLinePunct w:val="0"/>
        <w:bidi w:val="0"/>
        <w:spacing w:line="580" w:lineRule="exact"/>
        <w:ind w:firstLine="628" w:firstLineChars="200"/>
        <w:textAlignment w:val="auto"/>
      </w:pPr>
      <w:r>
        <w:rPr>
          <w:rFonts w:hint="eastAsia" w:eastAsia="仿宋_GB2312"/>
          <w:kern w:val="2"/>
          <w:sz w:val="32"/>
          <w:szCs w:val="32"/>
        </w:rPr>
        <w:t>（此件公开发布）</w:t>
      </w:r>
    </w:p>
    <w:sectPr>
      <w:footerReference r:id="rId3" w:type="default"/>
      <w:footerReference r:id="rId4" w:type="even"/>
      <w:pgSz w:w="11906" w:h="16838"/>
      <w:pgMar w:top="2098" w:right="1474" w:bottom="1985" w:left="1474" w:header="851" w:footer="1814" w:gutter="0"/>
      <w:cols w:space="720" w:num="1"/>
      <w:docGrid w:type="linesAndChars" w:linePitch="289" w:charSpace="-131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outside" w:y="1"/>
      <w:ind w:left="315" w:leftChars="150" w:right="315" w:rightChars="150"/>
      <w:rPr>
        <w:rStyle w:val="6"/>
        <w:rFonts w:hint="eastAsia" w:ascii="宋体" w:hAnsi="宋体"/>
        <w:sz w:val="28"/>
        <w:szCs w:val="28"/>
      </w:rPr>
    </w:pPr>
    <w:r>
      <w:rPr>
        <w:rStyle w:val="6"/>
        <w:rFonts w:hint="eastAsia" w:ascii="宋体" w:hAnsi="宋体"/>
        <w:sz w:val="28"/>
        <w:szCs w:val="28"/>
      </w:rPr>
      <w:t xml:space="preserve">— </w:t>
    </w:r>
    <w:r>
      <w:rPr>
        <w:rStyle w:val="6"/>
        <w:rFonts w:ascii="宋体" w:hAnsi="宋体"/>
        <w:sz w:val="28"/>
        <w:szCs w:val="28"/>
      </w:rPr>
      <w:fldChar w:fldCharType="begin"/>
    </w:r>
    <w:r>
      <w:rPr>
        <w:rStyle w:val="6"/>
        <w:rFonts w:ascii="宋体" w:hAnsi="宋体"/>
        <w:sz w:val="28"/>
        <w:szCs w:val="28"/>
      </w:rPr>
      <w:instrText xml:space="preserve">PAGE  </w:instrText>
    </w:r>
    <w:r>
      <w:rPr>
        <w:rStyle w:val="6"/>
        <w:rFonts w:ascii="宋体" w:hAnsi="宋体"/>
        <w:sz w:val="28"/>
        <w:szCs w:val="28"/>
      </w:rPr>
      <w:fldChar w:fldCharType="separate"/>
    </w:r>
    <w:r>
      <w:rPr>
        <w:rStyle w:val="6"/>
        <w:rFonts w:ascii="宋体" w:hAnsi="宋体"/>
        <w:sz w:val="28"/>
        <w:szCs w:val="28"/>
      </w:rPr>
      <w:t>1</w:t>
    </w:r>
    <w:r>
      <w:rPr>
        <w:rStyle w:val="6"/>
        <w:rFonts w:ascii="宋体" w:hAnsi="宋体"/>
        <w:sz w:val="28"/>
        <w:szCs w:val="28"/>
      </w:rPr>
      <w:fldChar w:fldCharType="end"/>
    </w:r>
    <w:r>
      <w:rPr>
        <w:rStyle w:val="6"/>
        <w:rFonts w:hint="eastAsia" w:ascii="宋体" w:hAnsi="宋体"/>
        <w:sz w:val="28"/>
        <w:szCs w:val="28"/>
      </w:rPr>
      <w:t xml:space="preserve"> —</w:t>
    </w:r>
  </w:p>
  <w:p>
    <w:pPr>
      <w:pStyle w:val="3"/>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outside" w:y="1"/>
      <w:rPr>
        <w:rStyle w:val="6"/>
      </w:rPr>
    </w:pPr>
    <w:r>
      <w:rPr>
        <w:rStyle w:val="6"/>
      </w:rPr>
      <w:fldChar w:fldCharType="begin"/>
    </w:r>
    <w:r>
      <w:rPr>
        <w:rStyle w:val="6"/>
      </w:rPr>
      <w:instrText xml:space="preserve">PAGE  </w:instrText>
    </w:r>
    <w:r>
      <w:rPr>
        <w:rStyle w:val="6"/>
      </w:rPr>
      <w:fldChar w:fldCharType="end"/>
    </w:r>
  </w:p>
  <w:p>
    <w:pPr>
      <w:pStyle w:val="3"/>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3570B1"/>
    <w:rsid w:val="064B47FD"/>
    <w:rsid w:val="075F674C"/>
    <w:rsid w:val="079C6180"/>
    <w:rsid w:val="09AC08F5"/>
    <w:rsid w:val="09FA1746"/>
    <w:rsid w:val="0D2A0962"/>
    <w:rsid w:val="130D7AA5"/>
    <w:rsid w:val="1340665E"/>
    <w:rsid w:val="156433FA"/>
    <w:rsid w:val="16657401"/>
    <w:rsid w:val="189B4795"/>
    <w:rsid w:val="192053EE"/>
    <w:rsid w:val="1A156921"/>
    <w:rsid w:val="1B095395"/>
    <w:rsid w:val="1D3570B1"/>
    <w:rsid w:val="1F573D93"/>
    <w:rsid w:val="20284120"/>
    <w:rsid w:val="265326DA"/>
    <w:rsid w:val="28C8606C"/>
    <w:rsid w:val="29171A1E"/>
    <w:rsid w:val="31B00AB8"/>
    <w:rsid w:val="31E778A8"/>
    <w:rsid w:val="323C1965"/>
    <w:rsid w:val="33B94AAA"/>
    <w:rsid w:val="358D1226"/>
    <w:rsid w:val="359C5F7B"/>
    <w:rsid w:val="38043EF0"/>
    <w:rsid w:val="3A8D36F6"/>
    <w:rsid w:val="3A9874AC"/>
    <w:rsid w:val="3B5D4FD4"/>
    <w:rsid w:val="3DFB313B"/>
    <w:rsid w:val="4ABC40B8"/>
    <w:rsid w:val="4B984F11"/>
    <w:rsid w:val="4CA81A9F"/>
    <w:rsid w:val="4D074BC3"/>
    <w:rsid w:val="4DDF0226"/>
    <w:rsid w:val="4EF957B9"/>
    <w:rsid w:val="4EFD73AF"/>
    <w:rsid w:val="51075873"/>
    <w:rsid w:val="524D4800"/>
    <w:rsid w:val="581178E3"/>
    <w:rsid w:val="5A8E6244"/>
    <w:rsid w:val="5AE415B4"/>
    <w:rsid w:val="5B612D6E"/>
    <w:rsid w:val="5BDD2331"/>
    <w:rsid w:val="5C397B64"/>
    <w:rsid w:val="5D4E6DD5"/>
    <w:rsid w:val="5E54290F"/>
    <w:rsid w:val="601C6439"/>
    <w:rsid w:val="61895294"/>
    <w:rsid w:val="622E1F2F"/>
    <w:rsid w:val="69423D74"/>
    <w:rsid w:val="6C332A7A"/>
    <w:rsid w:val="73F42689"/>
    <w:rsid w:val="74F07885"/>
    <w:rsid w:val="79A30360"/>
    <w:rsid w:val="7D525590"/>
    <w:rsid w:val="7F027A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0"/>
    <w:pPr>
      <w:spacing w:after="120"/>
    </w:pPr>
    <w:rPr>
      <w:rFonts w:ascii="Calibri" w:hAnsi="Calibri" w:eastAsia="宋体" w:cs="Times New Roman"/>
      <w:szCs w:val="22"/>
    </w:rPr>
  </w:style>
  <w:style w:type="paragraph" w:styleId="3">
    <w:name w:val="footer"/>
    <w:basedOn w:val="1"/>
    <w:qFormat/>
    <w:uiPriority w:val="0"/>
    <w:pPr>
      <w:tabs>
        <w:tab w:val="center" w:pos="4153"/>
        <w:tab w:val="right" w:pos="8306"/>
      </w:tabs>
      <w:snapToGrid w:val="0"/>
      <w:jc w:val="left"/>
    </w:pPr>
    <w:rPr>
      <w:sz w:val="18"/>
      <w:szCs w:val="18"/>
    </w:rPr>
  </w:style>
  <w:style w:type="character" w:styleId="6">
    <w:name w:val="page number"/>
    <w:basedOn w:val="5"/>
    <w:qFormat/>
    <w:uiPriority w:val="0"/>
  </w:style>
  <w:style w:type="paragraph" w:customStyle="1" w:styleId="7">
    <w:name w:val="内容"/>
    <w:basedOn w:val="1"/>
    <w:qFormat/>
    <w:uiPriority w:val="0"/>
    <w:pPr>
      <w:suppressAutoHyphens/>
      <w:overflowPunct w:val="0"/>
      <w:autoSpaceDE w:val="0"/>
      <w:autoSpaceDN w:val="0"/>
      <w:adjustRightInd w:val="0"/>
      <w:spacing w:line="360" w:lineRule="auto"/>
      <w:ind w:firstLine="200" w:firstLineChars="200"/>
    </w:pPr>
    <w:rPr>
      <w:rFonts w:ascii="仿宋_GB2312" w:hAnsi="仿宋_GB2312" w:eastAsia="仿宋_GB2312"/>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2020-12-10T02:26:00Z</dcterms:created>
  <dc:creator>徐霄飞</dc:creator>
  <cp:lastModifiedBy>陈永仁</cp:lastModifiedBy>
  <cp:lastPrinted>2021-03-11T08:36:00Z</cp:lastPrinted>
  <dcterms:modified xsi:type="dcterms:W3CDTF">2021-03-11T11:33:09Z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