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30"/>
          <w:kern w:val="2"/>
          <w:sz w:val="21"/>
          <w:szCs w:val="21"/>
          <w:fitText w:val="5742" w:id="0"/>
        </w:rPr>
        <w:t>国家市场监督管理总</w:t>
      </w:r>
      <w:r>
        <w:rPr>
          <w:rFonts w:hint="eastAsia" w:ascii="微软雅黑" w:hAnsi="微软雅黑" w:eastAsia="微软雅黑" w:cs="微软雅黑"/>
          <w:bCs/>
          <w:color w:val="000000"/>
          <w:spacing w:val="1"/>
          <w:kern w:val="2"/>
          <w:sz w:val="21"/>
          <w:szCs w:val="21"/>
          <w:fitText w:val="5742" w:id="0"/>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175"/>
          <w:kern w:val="2"/>
          <w:sz w:val="21"/>
          <w:szCs w:val="21"/>
          <w:fitText w:val="5742" w:id="1"/>
        </w:rPr>
        <w:t>行政处罚决定</w:t>
      </w:r>
      <w:r>
        <w:rPr>
          <w:rFonts w:hint="eastAsia" w:ascii="微软雅黑" w:hAnsi="微软雅黑" w:eastAsia="微软雅黑" w:cs="微软雅黑"/>
          <w:bCs/>
          <w:color w:val="000000"/>
          <w:spacing w:val="1"/>
          <w:kern w:val="2"/>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国市监处〔2020〕</w:t>
      </w:r>
      <w:r>
        <w:rPr>
          <w:rFonts w:hint="eastAsia" w:ascii="微软雅黑" w:hAnsi="微软雅黑" w:eastAsia="微软雅黑" w:cs="微软雅黑"/>
          <w:kern w:val="2"/>
          <w:sz w:val="21"/>
          <w:szCs w:val="21"/>
          <w:lang w:val="en-US" w:eastAsia="zh-CN"/>
        </w:rPr>
        <w:t>26</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bCs/>
          <w:sz w:val="21"/>
          <w:szCs w:val="21"/>
          <w:lang w:val="en-US" w:eastAsia="zh-CN"/>
        </w:rPr>
        <w:t>阿里巴巴投资有限公司（Alibaba Investment Limited）</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住  所：</w:t>
      </w:r>
      <w:r>
        <w:rPr>
          <w:rFonts w:hint="eastAsia" w:ascii="微软雅黑" w:hAnsi="微软雅黑" w:eastAsia="微软雅黑" w:cs="微软雅黑"/>
          <w:kern w:val="2"/>
          <w:sz w:val="21"/>
          <w:szCs w:val="21"/>
          <w:lang w:eastAsia="zh-CN"/>
        </w:rPr>
        <w:t>英属维尔京群岛托尔托拉岛路镇</w:t>
      </w:r>
    </w:p>
    <w:p>
      <w:pPr>
        <w:pStyle w:val="2"/>
        <w:rPr>
          <w:rFonts w:hint="eastAsia" w:ascii="微软雅黑" w:hAnsi="微软雅黑" w:eastAsia="微软雅黑" w:cs="微软雅黑"/>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根据《反垄断法》，本机关于20</w:t>
      </w:r>
      <w:r>
        <w:rPr>
          <w:rFonts w:hint="eastAsia" w:ascii="微软雅黑" w:hAnsi="微软雅黑" w:eastAsia="微软雅黑" w:cs="微软雅黑"/>
          <w:kern w:val="2"/>
          <w:sz w:val="21"/>
          <w:szCs w:val="21"/>
          <w:lang w:val="en-US" w:eastAsia="zh-CN"/>
        </w:rPr>
        <w:t>20</w:t>
      </w:r>
      <w:r>
        <w:rPr>
          <w:rFonts w:hint="eastAsia" w:ascii="微软雅黑" w:hAnsi="微软雅黑" w:eastAsia="微软雅黑" w:cs="微软雅黑"/>
          <w:kern w:val="2"/>
          <w:sz w:val="21"/>
          <w:szCs w:val="21"/>
        </w:rPr>
        <w:t>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lang w:val="en-US" w:eastAsia="zh-CN"/>
        </w:rPr>
        <w:t>月</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val="en-US" w:eastAsia="zh-CN"/>
        </w:rPr>
        <w:t>日</w:t>
      </w:r>
      <w:r>
        <w:rPr>
          <w:rFonts w:hint="eastAsia" w:ascii="微软雅黑" w:hAnsi="微软雅黑" w:eastAsia="微软雅黑" w:cs="微软雅黑"/>
          <w:kern w:val="2"/>
          <w:sz w:val="21"/>
          <w:szCs w:val="21"/>
          <w:lang w:eastAsia="zh-CN"/>
        </w:rPr>
        <w:t>对</w:t>
      </w:r>
      <w:r>
        <w:rPr>
          <w:rFonts w:hint="eastAsia" w:ascii="微软雅黑" w:hAnsi="微软雅黑" w:eastAsia="微软雅黑" w:cs="微软雅黑"/>
          <w:bCs/>
          <w:sz w:val="21"/>
          <w:szCs w:val="21"/>
          <w:lang w:val="en-US" w:eastAsia="zh-CN"/>
        </w:rPr>
        <w:t>阿里巴巴投资有限公司（Alibaba Investment Limited，简称阿里巴巴投资）收购</w:t>
      </w:r>
      <w:r>
        <w:rPr>
          <w:rFonts w:hint="eastAsia" w:ascii="微软雅黑" w:hAnsi="微软雅黑" w:eastAsia="微软雅黑" w:cs="微软雅黑"/>
          <w:sz w:val="21"/>
          <w:szCs w:val="21"/>
        </w:rPr>
        <w:t>银泰商业（集团）有限公</w:t>
      </w:r>
      <w:r>
        <w:rPr>
          <w:rFonts w:hint="eastAsia" w:ascii="微软雅黑" w:hAnsi="微软雅黑" w:eastAsia="微软雅黑" w:cs="微软雅黑"/>
          <w:b w:val="0"/>
          <w:bCs w:val="0"/>
          <w:sz w:val="21"/>
          <w:szCs w:val="21"/>
        </w:rPr>
        <w:t>司</w:t>
      </w:r>
      <w:r>
        <w:rPr>
          <w:rFonts w:hint="eastAsia" w:ascii="微软雅黑" w:hAnsi="微软雅黑" w:eastAsia="微软雅黑" w:cs="微软雅黑"/>
          <w:b w:val="0"/>
          <w:bCs w:val="0"/>
          <w:kern w:val="0"/>
          <w:sz w:val="21"/>
          <w:szCs w:val="21"/>
          <w:lang w:eastAsia="zh-CN"/>
        </w:rPr>
        <w:t>（简称</w:t>
      </w:r>
      <w:r>
        <w:rPr>
          <w:rFonts w:hint="eastAsia" w:ascii="微软雅黑" w:hAnsi="微软雅黑" w:eastAsia="微软雅黑" w:cs="微软雅黑"/>
          <w:b w:val="0"/>
          <w:bCs w:val="0"/>
          <w:sz w:val="21"/>
          <w:szCs w:val="21"/>
        </w:rPr>
        <w:t>银泰</w:t>
      </w:r>
      <w:r>
        <w:rPr>
          <w:rFonts w:hint="eastAsia" w:ascii="微软雅黑" w:hAnsi="微软雅黑" w:eastAsia="微软雅黑" w:cs="微软雅黑"/>
          <w:bCs/>
          <w:sz w:val="21"/>
          <w:szCs w:val="21"/>
        </w:rPr>
        <w:t>商业</w:t>
      </w:r>
      <w:r>
        <w:rPr>
          <w:rFonts w:hint="eastAsia" w:ascii="微软雅黑" w:hAnsi="微软雅黑" w:eastAsia="微软雅黑" w:cs="微软雅黑"/>
          <w:bCs/>
          <w:sz w:val="21"/>
          <w:szCs w:val="21"/>
          <w:lang w:eastAsia="zh-CN"/>
        </w:rPr>
        <w:t>）股权</w:t>
      </w:r>
      <w:r>
        <w:rPr>
          <w:rFonts w:hint="eastAsia" w:ascii="微软雅黑" w:hAnsi="微软雅黑" w:eastAsia="微软雅黑" w:cs="微软雅黑"/>
          <w:kern w:val="2"/>
          <w:sz w:val="21"/>
          <w:szCs w:val="21"/>
        </w:rPr>
        <w:t>未依法申报违法实施经营者集中案进行立案调查。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经查，该案构成未依法申报违法实施的经营者集中，但不具有排除、限制竞争的效果。本机关按照《行政处罚法》的规定，向</w:t>
      </w:r>
      <w:r>
        <w:rPr>
          <w:rFonts w:hint="eastAsia" w:ascii="微软雅黑" w:hAnsi="微软雅黑" w:eastAsia="微软雅黑" w:cs="微软雅黑"/>
          <w:sz w:val="21"/>
          <w:szCs w:val="21"/>
          <w:lang w:eastAsia="zh-CN"/>
        </w:rPr>
        <w:t>阿里巴巴投资</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eastAsia="zh-CN"/>
        </w:rPr>
        <w:t>阿里巴巴投资</w:t>
      </w:r>
      <w:r>
        <w:rPr>
          <w:rFonts w:hint="eastAsia" w:ascii="微软雅黑" w:hAnsi="微软雅黑" w:eastAsia="微软雅黑" w:cs="微软雅黑"/>
          <w:sz w:val="21"/>
          <w:szCs w:val="21"/>
          <w:lang w:eastAsia="zh-CN"/>
        </w:rPr>
        <w:t>书面来函放弃</w:t>
      </w:r>
      <w:r>
        <w:rPr>
          <w:rFonts w:hint="eastAsia" w:ascii="微软雅黑" w:hAnsi="微软雅黑" w:eastAsia="微软雅黑" w:cs="微软雅黑"/>
          <w:kern w:val="2"/>
          <w:sz w:val="21"/>
          <w:szCs w:val="21"/>
        </w:rPr>
        <w:t>陈述、申辩</w:t>
      </w:r>
      <w:r>
        <w:rPr>
          <w:rFonts w:hint="eastAsia" w:ascii="微软雅黑" w:hAnsi="微软雅黑" w:eastAsia="微软雅黑" w:cs="微软雅黑"/>
          <w:kern w:val="2"/>
          <w:sz w:val="21"/>
          <w:szCs w:val="21"/>
          <w:lang w:eastAsia="zh-CN"/>
        </w:rPr>
        <w:t>和</w:t>
      </w:r>
      <w:r>
        <w:rPr>
          <w:rFonts w:hint="eastAsia" w:ascii="微软雅黑" w:hAnsi="微软雅黑" w:eastAsia="微软雅黑" w:cs="微软雅黑"/>
          <w:kern w:val="2"/>
          <w:sz w:val="21"/>
          <w:szCs w:val="21"/>
        </w:rPr>
        <w:t>要求举行听证</w:t>
      </w:r>
      <w:r>
        <w:rPr>
          <w:rFonts w:hint="eastAsia" w:ascii="微软雅黑" w:hAnsi="微软雅黑" w:eastAsia="微软雅黑" w:cs="微软雅黑"/>
          <w:kern w:val="2"/>
          <w:sz w:val="21"/>
          <w:szCs w:val="21"/>
          <w:lang w:eastAsia="zh-CN"/>
        </w:rPr>
        <w:t>的权利</w:t>
      </w:r>
      <w:r>
        <w:rPr>
          <w:rFonts w:hint="eastAsia" w:ascii="微软雅黑" w:hAnsi="微软雅黑" w:eastAsia="微软雅黑" w:cs="微软雅黑"/>
          <w:kern w:val="2"/>
          <w:sz w:val="21"/>
          <w:szCs w:val="21"/>
        </w:rPr>
        <w:t>。本案现已调查、审理终结。</w:t>
      </w:r>
    </w:p>
    <w:p>
      <w:pPr>
        <w:suppressAutoHyphens/>
        <w:overflowPunct w:val="0"/>
        <w:autoSpaceDE w:val="0"/>
        <w:autoSpaceDN w:val="0"/>
        <w:adjustRightInd w:val="0"/>
        <w:spacing w:line="594" w:lineRule="exact"/>
        <w:ind w:firstLine="408" w:firstLineChars="2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lang w:eastAsia="zh-CN"/>
        </w:rPr>
        <w:t>一、</w:t>
      </w:r>
      <w:r>
        <w:rPr>
          <w:rFonts w:hint="eastAsia" w:ascii="微软雅黑" w:hAnsi="微软雅黑" w:eastAsia="微软雅黑" w:cs="微软雅黑"/>
          <w:bCs/>
          <w:sz w:val="21"/>
          <w:szCs w:val="21"/>
        </w:rPr>
        <w:t>基本情况</w:t>
      </w:r>
    </w:p>
    <w:p>
      <w:pPr>
        <w:suppressAutoHyphens/>
        <w:overflowPunct w:val="0"/>
        <w:autoSpaceDE w:val="0"/>
        <w:autoSpaceDN w:val="0"/>
        <w:adjustRightInd w:val="0"/>
        <w:spacing w:line="594" w:lineRule="exact"/>
        <w:ind w:firstLine="408"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（一）交易方。</w:t>
      </w:r>
    </w:p>
    <w:p>
      <w:pPr>
        <w:ind w:firstLine="408" w:firstLineChars="200"/>
        <w:rPr>
          <w:rFonts w:hint="eastAsia" w:ascii="微软雅黑" w:hAnsi="微软雅黑" w:eastAsia="微软雅黑" w:cs="微软雅黑"/>
          <w:bCs/>
          <w:sz w:val="21"/>
          <w:szCs w:val="21"/>
        </w:rPr>
      </w:pPr>
      <w:r>
        <w:rPr>
          <w:rFonts w:hint="eastAsia" w:ascii="微软雅黑" w:hAnsi="微软雅黑" w:eastAsia="微软雅黑" w:cs="微软雅黑"/>
          <w:b/>
          <w:bCs w:val="0"/>
          <w:sz w:val="21"/>
          <w:szCs w:val="21"/>
          <w:lang w:val="en-US" w:eastAsia="zh-CN"/>
        </w:rPr>
        <w:t>收购方：阿里巴巴投资。</w:t>
      </w:r>
      <w:r>
        <w:rPr>
          <w:rFonts w:hint="eastAsia" w:ascii="微软雅黑" w:hAnsi="微软雅黑" w:eastAsia="微软雅黑" w:cs="微软雅黑"/>
          <w:b w:val="0"/>
          <w:bCs/>
          <w:sz w:val="21"/>
          <w:szCs w:val="21"/>
          <w:highlight w:val="none"/>
          <w:lang w:val="en-US" w:eastAsia="zh-CN"/>
        </w:rPr>
        <w:t>2000年Alibaba.com欧洲有限公司在英属维尔京群岛注册</w:t>
      </w:r>
      <w:r>
        <w:rPr>
          <w:rFonts w:hint="eastAsia" w:ascii="微软雅黑" w:hAnsi="微软雅黑" w:eastAsia="微软雅黑" w:cs="微软雅黑"/>
          <w:b w:val="0"/>
          <w:bCs/>
          <w:sz w:val="21"/>
          <w:szCs w:val="21"/>
          <w:highlight w:val="none"/>
          <w:lang w:eastAsia="zh-CN"/>
        </w:rPr>
        <w:t>成立，</w:t>
      </w:r>
      <w:r>
        <w:rPr>
          <w:rFonts w:hint="eastAsia" w:ascii="微软雅黑" w:hAnsi="微软雅黑" w:eastAsia="微软雅黑" w:cs="微软雅黑"/>
          <w:b w:val="0"/>
          <w:bCs/>
          <w:sz w:val="21"/>
          <w:szCs w:val="21"/>
          <w:highlight w:val="none"/>
          <w:lang w:val="en-US" w:eastAsia="zh-CN"/>
        </w:rPr>
        <w:t>2003年更名为</w:t>
      </w:r>
      <w:r>
        <w:rPr>
          <w:rFonts w:hint="eastAsia" w:ascii="微软雅黑" w:hAnsi="微软雅黑" w:eastAsia="微软雅黑" w:cs="微软雅黑"/>
          <w:bCs/>
          <w:sz w:val="21"/>
          <w:szCs w:val="21"/>
          <w:lang w:val="en-US" w:eastAsia="zh-CN"/>
        </w:rPr>
        <w:t>阿里巴巴投资</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rPr>
        <w:t>是</w:t>
      </w:r>
      <w:r>
        <w:rPr>
          <w:rFonts w:hint="eastAsia" w:ascii="微软雅黑" w:hAnsi="微软雅黑" w:eastAsia="微软雅黑" w:cs="微软雅黑"/>
          <w:b w:val="0"/>
          <w:bCs/>
          <w:sz w:val="21"/>
          <w:szCs w:val="21"/>
          <w:highlight w:val="none"/>
          <w:lang w:val="en-US" w:eastAsia="zh-CN"/>
        </w:rPr>
        <w:t>阿里巴巴集团控股有限公司（简称阿里巴</w:t>
      </w:r>
      <w:r>
        <w:rPr>
          <w:rFonts w:hint="eastAsia" w:ascii="微软雅黑" w:hAnsi="微软雅黑" w:eastAsia="微软雅黑" w:cs="微软雅黑"/>
          <w:bCs/>
          <w:sz w:val="21"/>
          <w:szCs w:val="21"/>
          <w:lang w:val="en-US" w:eastAsia="zh-CN"/>
        </w:rPr>
        <w:t>巴）</w:t>
      </w:r>
      <w:r>
        <w:rPr>
          <w:rFonts w:hint="eastAsia" w:ascii="微软雅黑" w:hAnsi="微软雅黑" w:eastAsia="微软雅黑" w:cs="微软雅黑"/>
          <w:bCs/>
          <w:sz w:val="21"/>
          <w:szCs w:val="21"/>
        </w:rPr>
        <w:t>从事战略投资的</w:t>
      </w:r>
      <w:r>
        <w:rPr>
          <w:rFonts w:hint="eastAsia" w:ascii="微软雅黑" w:hAnsi="微软雅黑" w:eastAsia="微软雅黑" w:cs="微软雅黑"/>
          <w:bCs/>
          <w:sz w:val="21"/>
          <w:szCs w:val="21"/>
          <w:lang w:eastAsia="zh-CN"/>
        </w:rPr>
        <w:t>全资子公司。</w:t>
      </w:r>
      <w:r>
        <w:rPr>
          <w:rFonts w:hint="eastAsia" w:ascii="微软雅黑" w:hAnsi="微软雅黑" w:eastAsia="微软雅黑" w:cs="微软雅黑"/>
          <w:bCs/>
          <w:sz w:val="21"/>
          <w:szCs w:val="21"/>
        </w:rPr>
        <w:t>阿里巴巴</w:t>
      </w:r>
      <w:r>
        <w:rPr>
          <w:rFonts w:hint="eastAsia" w:ascii="微软雅黑" w:hAnsi="微软雅黑" w:eastAsia="微软雅黑" w:cs="微软雅黑"/>
          <w:bCs/>
          <w:sz w:val="21"/>
          <w:szCs w:val="21"/>
          <w:lang w:eastAsia="zh-CN"/>
        </w:rPr>
        <w:t>主营</w:t>
      </w:r>
      <w:r>
        <w:rPr>
          <w:rFonts w:hint="eastAsia" w:ascii="微软雅黑" w:hAnsi="微软雅黑" w:eastAsia="微软雅黑" w:cs="微软雅黑"/>
          <w:bCs/>
          <w:sz w:val="21"/>
          <w:szCs w:val="21"/>
        </w:rPr>
        <w:t>业务包括由天猫、淘宝、聚划算构成的中国网络销售平台业务</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bCs/>
          <w:sz w:val="21"/>
          <w:szCs w:val="21"/>
        </w:rPr>
        <w:t>全球批发贸易平台业务(阿里巴巴国际交易市场)</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bCs/>
          <w:sz w:val="21"/>
          <w:szCs w:val="21"/>
        </w:rPr>
        <w:t>中国批发贸易平台业务</w:t>
      </w:r>
      <w:r>
        <w:rPr>
          <w:rFonts w:hint="eastAsia" w:ascii="微软雅黑" w:hAnsi="微软雅黑" w:eastAsia="微软雅黑" w:cs="微软雅黑"/>
          <w:bCs/>
          <w:sz w:val="21"/>
          <w:szCs w:val="21"/>
          <w:lang w:eastAsia="zh-CN"/>
        </w:rPr>
        <w:t>以及</w:t>
      </w:r>
      <w:r>
        <w:rPr>
          <w:rFonts w:hint="eastAsia" w:ascii="微软雅黑" w:hAnsi="微软雅黑" w:eastAsia="微软雅黑" w:cs="微软雅黑"/>
          <w:bCs/>
          <w:sz w:val="21"/>
          <w:szCs w:val="21"/>
        </w:rPr>
        <w:t>全球零售市场</w:t>
      </w:r>
      <w:r>
        <w:rPr>
          <w:rFonts w:hint="eastAsia" w:ascii="微软雅黑" w:hAnsi="微软雅黑" w:eastAsia="微软雅黑" w:cs="微软雅黑"/>
          <w:bCs/>
          <w:sz w:val="21"/>
          <w:szCs w:val="21"/>
          <w:lang w:eastAsia="zh-CN"/>
        </w:rPr>
        <w:t>业务</w:t>
      </w:r>
      <w:r>
        <w:rPr>
          <w:rFonts w:hint="eastAsia" w:ascii="微软雅黑" w:hAnsi="微软雅黑" w:eastAsia="微软雅黑" w:cs="微软雅黑"/>
          <w:bCs/>
          <w:sz w:val="21"/>
          <w:szCs w:val="21"/>
        </w:rPr>
        <w:t>(全球速卖通)等。2016年阿里巴巴</w:t>
      </w:r>
      <w:r>
        <w:rPr>
          <w:rFonts w:hint="eastAsia" w:ascii="微软雅黑" w:hAnsi="微软雅黑" w:eastAsia="微软雅黑" w:cs="微软雅黑"/>
          <w:bCs/>
          <w:sz w:val="21"/>
          <w:szCs w:val="21"/>
          <w:lang w:eastAsia="zh-CN"/>
        </w:rPr>
        <w:t>投资</w:t>
      </w:r>
      <w:r>
        <w:rPr>
          <w:rFonts w:hint="eastAsia" w:ascii="微软雅黑" w:hAnsi="微软雅黑" w:eastAsia="微软雅黑" w:cs="微软雅黑"/>
          <w:bCs/>
          <w:sz w:val="21"/>
          <w:szCs w:val="21"/>
        </w:rPr>
        <w:t>的全球</w:t>
      </w:r>
      <w:r>
        <w:rPr>
          <w:rFonts w:hint="eastAsia" w:ascii="微软雅黑" w:hAnsi="微软雅黑" w:eastAsia="微软雅黑" w:cs="微软雅黑"/>
          <w:bCs/>
          <w:sz w:val="21"/>
          <w:szCs w:val="21"/>
          <w:lang w:eastAsia="zh-CN"/>
        </w:rPr>
        <w:t>营业额</w:t>
      </w:r>
      <w:r>
        <w:rPr>
          <w:rFonts w:hint="eastAsia" w:ascii="微软雅黑" w:hAnsi="微软雅黑" w:eastAsia="微软雅黑" w:cs="微软雅黑"/>
          <w:bCs/>
          <w:sz w:val="21"/>
          <w:szCs w:val="21"/>
        </w:rPr>
        <w:t>为1011.43亿元人民币</w:t>
      </w:r>
      <w:r>
        <w:rPr>
          <w:rFonts w:hint="eastAsia" w:ascii="微软雅黑" w:hAnsi="微软雅黑" w:eastAsia="微软雅黑" w:cs="微软雅黑"/>
          <w:bCs/>
          <w:sz w:val="21"/>
          <w:szCs w:val="21"/>
          <w:lang w:eastAsia="zh-CN"/>
        </w:rPr>
        <w:t>（币种下同）</w:t>
      </w:r>
      <w:r>
        <w:rPr>
          <w:rFonts w:hint="eastAsia" w:ascii="微软雅黑" w:hAnsi="微软雅黑" w:eastAsia="微软雅黑" w:cs="微软雅黑"/>
          <w:bCs/>
          <w:sz w:val="21"/>
          <w:szCs w:val="21"/>
        </w:rPr>
        <w:t>，中国境内</w:t>
      </w:r>
      <w:r>
        <w:rPr>
          <w:rFonts w:hint="eastAsia" w:ascii="微软雅黑" w:hAnsi="微软雅黑" w:eastAsia="微软雅黑" w:cs="微软雅黑"/>
          <w:bCs/>
          <w:sz w:val="21"/>
          <w:szCs w:val="21"/>
          <w:lang w:eastAsia="zh-CN"/>
        </w:rPr>
        <w:t>营业额</w:t>
      </w:r>
      <w:r>
        <w:rPr>
          <w:rFonts w:hint="eastAsia" w:ascii="微软雅黑" w:hAnsi="微软雅黑" w:eastAsia="微软雅黑" w:cs="微软雅黑"/>
          <w:bCs/>
          <w:sz w:val="21"/>
          <w:szCs w:val="21"/>
        </w:rPr>
        <w:t>为</w:t>
      </w:r>
      <w:r>
        <w:rPr>
          <w:rFonts w:hint="eastAsia" w:ascii="微软雅黑" w:hAnsi="微软雅黑" w:eastAsia="微软雅黑" w:cs="微软雅黑"/>
          <w:bCs/>
          <w:sz w:val="21"/>
          <w:szCs w:val="21"/>
          <w:lang w:val="en-US" w:eastAsia="zh-CN"/>
        </w:rPr>
        <w:t>（略）</w:t>
      </w:r>
      <w:r>
        <w:rPr>
          <w:rFonts w:hint="eastAsia" w:ascii="微软雅黑" w:hAnsi="微软雅黑" w:eastAsia="微软雅黑" w:cs="微软雅黑"/>
          <w:bCs/>
          <w:sz w:val="21"/>
          <w:szCs w:val="21"/>
        </w:rPr>
        <w:t>。</w:t>
      </w:r>
    </w:p>
    <w:p>
      <w:pPr>
        <w:ind w:firstLine="408" w:firstLineChars="200"/>
        <w:rPr>
          <w:rFonts w:hint="eastAsia" w:ascii="微软雅黑" w:hAnsi="微软雅黑" w:eastAsia="微软雅黑" w:cs="微软雅黑"/>
          <w:bCs/>
          <w:sz w:val="21"/>
          <w:szCs w:val="21"/>
        </w:rPr>
      </w:pPr>
      <w:r>
        <w:rPr>
          <w:rFonts w:hint="eastAsia" w:ascii="微软雅黑" w:hAnsi="微软雅黑" w:eastAsia="微软雅黑" w:cs="微软雅黑"/>
          <w:b/>
          <w:bCs w:val="0"/>
          <w:sz w:val="21"/>
          <w:szCs w:val="21"/>
        </w:rPr>
        <w:t>被收购方：银泰商业</w:t>
      </w:r>
      <w:r>
        <w:rPr>
          <w:rFonts w:hint="eastAsia" w:ascii="微软雅黑" w:hAnsi="微软雅黑" w:eastAsia="微软雅黑" w:cs="微软雅黑"/>
          <w:b/>
          <w:bCs w:val="0"/>
          <w:sz w:val="21"/>
          <w:szCs w:val="21"/>
          <w:lang w:eastAsia="zh-CN"/>
        </w:rPr>
        <w:t>。</w:t>
      </w:r>
      <w:r>
        <w:rPr>
          <w:rFonts w:hint="eastAsia" w:ascii="微软雅黑" w:hAnsi="微软雅黑" w:eastAsia="微软雅黑" w:cs="微软雅黑"/>
          <w:b w:val="0"/>
          <w:bCs/>
          <w:sz w:val="21"/>
          <w:szCs w:val="21"/>
        </w:rPr>
        <w:t>2006年银泰百货（集团）有限公司在开曼群岛注册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2013年更名为银泰商业（集团）有限公</w:t>
      </w:r>
      <w:r>
        <w:rPr>
          <w:rFonts w:hint="eastAsia" w:ascii="微软雅黑" w:hAnsi="微软雅黑" w:eastAsia="微软雅黑" w:cs="微软雅黑"/>
          <w:b w:val="0"/>
          <w:bCs w:val="0"/>
          <w:sz w:val="21"/>
          <w:szCs w:val="21"/>
        </w:rPr>
        <w:t>司</w:t>
      </w:r>
      <w:r>
        <w:rPr>
          <w:rFonts w:hint="eastAsia" w:ascii="微软雅黑" w:hAnsi="微软雅黑" w:eastAsia="微软雅黑" w:cs="微软雅黑"/>
          <w:bCs/>
          <w:sz w:val="21"/>
          <w:szCs w:val="21"/>
        </w:rPr>
        <w:t>，2007年3月在香港</w:t>
      </w:r>
      <w:r>
        <w:rPr>
          <w:rFonts w:hint="eastAsia" w:ascii="微软雅黑" w:hAnsi="微软雅黑" w:eastAsia="微软雅黑" w:cs="微软雅黑"/>
          <w:bCs/>
          <w:sz w:val="21"/>
          <w:szCs w:val="21"/>
          <w:lang w:eastAsia="zh-CN"/>
        </w:rPr>
        <w:t>联合交易所</w:t>
      </w:r>
      <w:r>
        <w:rPr>
          <w:rFonts w:hint="eastAsia" w:ascii="微软雅黑" w:hAnsi="微软雅黑" w:eastAsia="微软雅黑" w:cs="微软雅黑"/>
          <w:bCs/>
          <w:sz w:val="21"/>
          <w:szCs w:val="21"/>
        </w:rPr>
        <w:t>上市。银泰商业主要在中国从事百货店及购物中心</w:t>
      </w:r>
      <w:r>
        <w:rPr>
          <w:rFonts w:hint="eastAsia" w:ascii="微软雅黑" w:hAnsi="微软雅黑" w:eastAsia="微软雅黑" w:cs="微软雅黑"/>
          <w:bCs/>
          <w:sz w:val="21"/>
          <w:szCs w:val="21"/>
          <w:lang w:eastAsia="zh-CN"/>
        </w:rPr>
        <w:t>的</w:t>
      </w:r>
      <w:r>
        <w:rPr>
          <w:rFonts w:hint="eastAsia" w:ascii="微软雅黑" w:hAnsi="微软雅黑" w:eastAsia="微软雅黑" w:cs="微软雅黑"/>
          <w:bCs/>
          <w:sz w:val="21"/>
          <w:szCs w:val="21"/>
        </w:rPr>
        <w:t>经营和管理。2016年银泰商业全球</w:t>
      </w:r>
      <w:r>
        <w:rPr>
          <w:rFonts w:hint="eastAsia" w:ascii="微软雅黑" w:hAnsi="微软雅黑" w:eastAsia="微软雅黑" w:cs="微软雅黑"/>
          <w:bCs/>
          <w:sz w:val="21"/>
          <w:szCs w:val="21"/>
          <w:lang w:eastAsia="zh-CN"/>
        </w:rPr>
        <w:t>和中国境内营业额均</w:t>
      </w:r>
      <w:r>
        <w:rPr>
          <w:rFonts w:hint="eastAsia" w:ascii="微软雅黑" w:hAnsi="微软雅黑" w:eastAsia="微软雅黑" w:cs="微软雅黑"/>
          <w:bCs/>
          <w:sz w:val="21"/>
          <w:szCs w:val="21"/>
        </w:rPr>
        <w:t>为</w:t>
      </w:r>
      <w:r>
        <w:rPr>
          <w:rFonts w:hint="eastAsia" w:ascii="微软雅黑" w:hAnsi="微软雅黑" w:eastAsia="微软雅黑" w:cs="微软雅黑"/>
          <w:bCs/>
          <w:sz w:val="21"/>
          <w:szCs w:val="21"/>
          <w:lang w:val="en-US" w:eastAsia="zh-CN"/>
        </w:rPr>
        <w:t>（略）</w:t>
      </w:r>
      <w:r>
        <w:rPr>
          <w:rFonts w:hint="eastAsia" w:ascii="微软雅黑" w:hAnsi="微软雅黑" w:eastAsia="微软雅黑" w:cs="微软雅黑"/>
          <w:bCs/>
          <w:sz w:val="21"/>
          <w:szCs w:val="21"/>
        </w:rPr>
        <w:t>。</w:t>
      </w:r>
    </w:p>
    <w:p>
      <w:pPr>
        <w:suppressAutoHyphens/>
        <w:overflowPunct w:val="0"/>
        <w:autoSpaceDE w:val="0"/>
        <w:autoSpaceDN w:val="0"/>
        <w:adjustRightInd w:val="0"/>
        <w:spacing w:line="594" w:lineRule="exact"/>
        <w:ind w:firstLine="408"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（二）交易概况。</w:t>
      </w:r>
    </w:p>
    <w:p>
      <w:pPr>
        <w:spacing w:line="594" w:lineRule="exact"/>
        <w:ind w:firstLine="408"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2014年3月</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阿里巴巴投资通过认购新股和可转换债券的方式，认购了银泰商业9.9%的新股股权（约2.2亿股）和可转换债券</w:t>
      </w:r>
      <w:r>
        <w:rPr>
          <w:rFonts w:hint="eastAsia" w:ascii="微软雅黑" w:hAnsi="微软雅黑" w:eastAsia="微软雅黑" w:cs="微软雅黑"/>
          <w:sz w:val="21"/>
          <w:szCs w:val="21"/>
          <w:highlight w:val="none"/>
        </w:rPr>
        <w:t>（对应可转为上市公司约4.6亿新股）。2016年6月</w:t>
      </w:r>
      <w:r>
        <w:rPr>
          <w:rFonts w:hint="eastAsia" w:ascii="微软雅黑" w:hAnsi="微软雅黑" w:eastAsia="微软雅黑" w:cs="微软雅黑"/>
          <w:sz w:val="21"/>
          <w:szCs w:val="21"/>
          <w:highlight w:val="none"/>
          <w:lang w:eastAsia="zh-CN"/>
        </w:rPr>
        <w:t>，阿里巴巴投资</w:t>
      </w:r>
      <w:r>
        <w:rPr>
          <w:rFonts w:hint="eastAsia" w:ascii="微软雅黑" w:hAnsi="微软雅黑" w:eastAsia="微软雅黑" w:cs="微软雅黑"/>
          <w:sz w:val="21"/>
          <w:szCs w:val="21"/>
          <w:highlight w:val="none"/>
        </w:rPr>
        <w:t>将可转换债券转成股份，转股后阿里巴巴投资持有银泰商业约27.</w:t>
      </w:r>
      <w:r>
        <w:rPr>
          <w:rFonts w:hint="eastAsia" w:ascii="微软雅黑" w:hAnsi="微软雅黑" w:eastAsia="微软雅黑" w:cs="微软雅黑"/>
          <w:sz w:val="21"/>
          <w:szCs w:val="21"/>
          <w:highlight w:val="none"/>
          <w:lang w:val="en-US" w:eastAsia="zh-CN"/>
        </w:rPr>
        <w:t>83</w:t>
      </w:r>
      <w:r>
        <w:rPr>
          <w:rFonts w:hint="eastAsia" w:ascii="微软雅黑" w:hAnsi="微软雅黑" w:eastAsia="微软雅黑" w:cs="微软雅黑"/>
          <w:sz w:val="21"/>
          <w:szCs w:val="21"/>
          <w:highlight w:val="none"/>
        </w:rPr>
        <w:t>%的股份。2017年</w:t>
      </w:r>
      <w:r>
        <w:rPr>
          <w:rFonts w:hint="eastAsia" w:ascii="微软雅黑" w:hAnsi="微软雅黑" w:eastAsia="微软雅黑" w:cs="微软雅黑"/>
          <w:sz w:val="21"/>
          <w:szCs w:val="21"/>
          <w:highlight w:val="none"/>
          <w:lang w:val="en-US" w:eastAsia="zh-CN"/>
        </w:rPr>
        <w:t>3月</w:t>
      </w:r>
      <w:r>
        <w:rPr>
          <w:rFonts w:hint="eastAsia" w:ascii="微软雅黑" w:hAnsi="微软雅黑" w:eastAsia="微软雅黑" w:cs="微软雅黑"/>
          <w:sz w:val="21"/>
          <w:szCs w:val="21"/>
          <w:highlight w:val="none"/>
          <w:lang w:eastAsia="zh-CN"/>
        </w:rPr>
        <w:t>，银泰商业进行</w:t>
      </w:r>
      <w:r>
        <w:rPr>
          <w:rFonts w:hint="eastAsia" w:ascii="微软雅黑" w:hAnsi="微软雅黑" w:eastAsia="微软雅黑" w:cs="微软雅黑"/>
          <w:sz w:val="21"/>
          <w:szCs w:val="21"/>
          <w:highlight w:val="none"/>
        </w:rPr>
        <w:t>私有化</w:t>
      </w:r>
      <w:r>
        <w:rPr>
          <w:rFonts w:hint="eastAsia" w:ascii="微软雅黑" w:hAnsi="微软雅黑" w:eastAsia="微软雅黑" w:cs="微软雅黑"/>
          <w:sz w:val="21"/>
          <w:szCs w:val="21"/>
          <w:highlight w:val="none"/>
          <w:lang w:val="en-US" w:eastAsia="zh-CN"/>
        </w:rPr>
        <w:t>并于</w:t>
      </w:r>
      <w:r>
        <w:rPr>
          <w:rFonts w:hint="eastAsia" w:ascii="微软雅黑" w:hAnsi="微软雅黑" w:eastAsia="微软雅黑" w:cs="微软雅黑"/>
          <w:sz w:val="21"/>
          <w:szCs w:val="21"/>
          <w:highlight w:val="none"/>
        </w:rPr>
        <w:t>2017年6月完成</w:t>
      </w:r>
      <w:r>
        <w:rPr>
          <w:rFonts w:hint="eastAsia" w:ascii="微软雅黑" w:hAnsi="微软雅黑" w:eastAsia="微软雅黑" w:cs="微软雅黑"/>
          <w:sz w:val="21"/>
          <w:szCs w:val="21"/>
          <w:highlight w:val="none"/>
          <w:lang w:eastAsia="zh-CN"/>
        </w:rPr>
        <w:t>股权</w:t>
      </w:r>
      <w:r>
        <w:rPr>
          <w:rFonts w:hint="eastAsia" w:ascii="微软雅黑" w:hAnsi="微软雅黑" w:eastAsia="微软雅黑" w:cs="微软雅黑"/>
          <w:sz w:val="21"/>
          <w:szCs w:val="21"/>
          <w:highlight w:val="none"/>
          <w:lang w:eastAsia="zh-CN"/>
        </w:rPr>
        <w:t>交割，</w:t>
      </w:r>
      <w:r>
        <w:rPr>
          <w:rFonts w:hint="eastAsia" w:ascii="微软雅黑" w:hAnsi="微软雅黑" w:eastAsia="微软雅黑" w:cs="微软雅黑"/>
          <w:sz w:val="21"/>
          <w:szCs w:val="21"/>
          <w:highlight w:val="none"/>
        </w:rPr>
        <w:t>阿里巴巴投资持</w:t>
      </w:r>
      <w:r>
        <w:rPr>
          <w:rFonts w:hint="eastAsia" w:ascii="微软雅黑" w:hAnsi="微软雅黑" w:eastAsia="微软雅黑" w:cs="微软雅黑"/>
          <w:sz w:val="21"/>
          <w:szCs w:val="21"/>
        </w:rPr>
        <w:t>股比例增加至73.79%，成为银泰商业控股股东。</w:t>
      </w:r>
      <w:r>
        <w:rPr>
          <w:rFonts w:hint="eastAsia" w:ascii="微软雅黑" w:hAnsi="微软雅黑" w:eastAsia="微软雅黑" w:cs="微软雅黑"/>
          <w:sz w:val="21"/>
          <w:szCs w:val="21"/>
          <w:lang w:val="en-US" w:eastAsia="zh-CN"/>
        </w:rPr>
        <w:t>2018年2月，阿里巴巴投资持股比例进一步提高至</w:t>
      </w:r>
      <w:r>
        <w:rPr>
          <w:rFonts w:hint="eastAsia" w:ascii="微软雅黑" w:hAnsi="微软雅黑" w:eastAsia="微软雅黑" w:cs="微软雅黑"/>
          <w:bCs/>
          <w:sz w:val="21"/>
          <w:szCs w:val="21"/>
          <w:lang w:val="en-US" w:eastAsia="zh-CN"/>
        </w:rPr>
        <w:t>（略）</w:t>
      </w:r>
      <w:r>
        <w:rPr>
          <w:rFonts w:hint="eastAsia" w:ascii="微软雅黑" w:hAnsi="微软雅黑" w:eastAsia="微软雅黑" w:cs="微软雅黑"/>
          <w:sz w:val="21"/>
          <w:szCs w:val="21"/>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pageBreakBefore w:val="0"/>
        <w:kinsoku/>
        <w:wordWrap/>
        <w:topLinePunct w:val="0"/>
        <w:bidi w:val="0"/>
        <w:snapToGrid/>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（一）本案构成未依法申报</w:t>
      </w:r>
      <w:r>
        <w:rPr>
          <w:rFonts w:hint="eastAsia" w:ascii="微软雅黑" w:hAnsi="微软雅黑" w:eastAsia="微软雅黑" w:cs="微软雅黑"/>
          <w:b/>
          <w:bCs/>
          <w:sz w:val="21"/>
          <w:szCs w:val="21"/>
          <w:lang w:eastAsia="zh-CN"/>
        </w:rPr>
        <w:t>违法</w:t>
      </w:r>
      <w:r>
        <w:rPr>
          <w:rFonts w:hint="eastAsia" w:ascii="微软雅黑" w:hAnsi="微软雅黑" w:eastAsia="微软雅黑" w:cs="微软雅黑"/>
          <w:b/>
          <w:bCs/>
          <w:sz w:val="21"/>
          <w:szCs w:val="21"/>
        </w:rPr>
        <w:t>实施的经营者集中。</w:t>
      </w:r>
    </w:p>
    <w:p>
      <w:pPr>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sz w:val="21"/>
          <w:szCs w:val="21"/>
          <w:lang w:eastAsia="zh-CN"/>
        </w:rPr>
        <w:t>截至</w:t>
      </w:r>
      <w:r>
        <w:rPr>
          <w:rFonts w:hint="eastAsia" w:ascii="微软雅黑" w:hAnsi="微软雅黑" w:eastAsia="微软雅黑" w:cs="微软雅黑"/>
          <w:sz w:val="21"/>
          <w:szCs w:val="21"/>
          <w:lang w:val="en-US" w:eastAsia="zh-CN"/>
        </w:rPr>
        <w:t>2017年6月，</w:t>
      </w:r>
      <w:r>
        <w:rPr>
          <w:rFonts w:hint="eastAsia" w:ascii="微软雅黑" w:hAnsi="微软雅黑" w:eastAsia="微软雅黑" w:cs="微软雅黑"/>
          <w:sz w:val="21"/>
          <w:szCs w:val="21"/>
          <w:lang w:eastAsia="zh-CN"/>
        </w:rPr>
        <w:t>阿里巴巴投资通过多种方式取得</w:t>
      </w:r>
      <w:r>
        <w:rPr>
          <w:rFonts w:hint="eastAsia" w:ascii="微软雅黑" w:hAnsi="微软雅黑" w:eastAsia="微软雅黑" w:cs="微软雅黑"/>
          <w:sz w:val="21"/>
          <w:szCs w:val="21"/>
        </w:rPr>
        <w:t>银泰商业73.79%</w:t>
      </w:r>
      <w:r>
        <w:rPr>
          <w:rFonts w:hint="eastAsia" w:ascii="微软雅黑" w:hAnsi="微软雅黑" w:eastAsia="微软雅黑" w:cs="微软雅黑"/>
          <w:sz w:val="21"/>
          <w:szCs w:val="21"/>
          <w:lang w:eastAsia="zh-CN"/>
        </w:rPr>
        <w:t>的股权，获得</w:t>
      </w:r>
      <w:r>
        <w:rPr>
          <w:rFonts w:hint="eastAsia" w:ascii="微软雅黑" w:hAnsi="微软雅黑" w:eastAsia="微软雅黑" w:cs="微软雅黑"/>
          <w:sz w:val="21"/>
          <w:szCs w:val="21"/>
        </w:rPr>
        <w:t>对银泰商业的控制权</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属于《反垄断法》第二十条规定的经营者集中。</w:t>
      </w:r>
    </w:p>
    <w:p>
      <w:pPr>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bCs/>
          <w:sz w:val="21"/>
          <w:szCs w:val="21"/>
        </w:rPr>
        <w:t>2016年，阿里巴巴</w:t>
      </w:r>
      <w:r>
        <w:rPr>
          <w:rFonts w:hint="eastAsia" w:ascii="微软雅黑" w:hAnsi="微软雅黑" w:eastAsia="微软雅黑" w:cs="微软雅黑"/>
          <w:bCs/>
          <w:sz w:val="21"/>
          <w:szCs w:val="21"/>
          <w:lang w:eastAsia="zh-CN"/>
        </w:rPr>
        <w:t>投资</w:t>
      </w:r>
      <w:r>
        <w:rPr>
          <w:rFonts w:hint="eastAsia" w:ascii="微软雅黑" w:hAnsi="微软雅黑" w:eastAsia="微软雅黑" w:cs="微软雅黑"/>
          <w:bCs/>
          <w:sz w:val="21"/>
          <w:szCs w:val="21"/>
        </w:rPr>
        <w:t>的全球</w:t>
      </w:r>
      <w:r>
        <w:rPr>
          <w:rFonts w:hint="eastAsia" w:ascii="微软雅黑" w:hAnsi="微软雅黑" w:eastAsia="微软雅黑" w:cs="微软雅黑"/>
          <w:bCs/>
          <w:sz w:val="21"/>
          <w:szCs w:val="21"/>
          <w:lang w:eastAsia="zh-CN"/>
        </w:rPr>
        <w:t>营业额</w:t>
      </w:r>
      <w:r>
        <w:rPr>
          <w:rFonts w:hint="eastAsia" w:ascii="微软雅黑" w:hAnsi="微软雅黑" w:eastAsia="微软雅黑" w:cs="微软雅黑"/>
          <w:bCs/>
          <w:sz w:val="21"/>
          <w:szCs w:val="21"/>
        </w:rPr>
        <w:t>为人民币1011.43亿元，中国境内</w:t>
      </w:r>
      <w:r>
        <w:rPr>
          <w:rFonts w:hint="eastAsia" w:ascii="微软雅黑" w:hAnsi="微软雅黑" w:eastAsia="微软雅黑" w:cs="微软雅黑"/>
          <w:bCs/>
          <w:sz w:val="21"/>
          <w:szCs w:val="21"/>
          <w:lang w:eastAsia="zh-CN"/>
        </w:rPr>
        <w:t>营业额</w:t>
      </w:r>
      <w:r>
        <w:rPr>
          <w:rFonts w:hint="eastAsia" w:ascii="微软雅黑" w:hAnsi="微软雅黑" w:eastAsia="微软雅黑" w:cs="微软雅黑"/>
          <w:bCs/>
          <w:sz w:val="21"/>
          <w:szCs w:val="21"/>
          <w:lang w:eastAsia="zh-CN"/>
        </w:rPr>
        <w:t>为</w:t>
      </w:r>
      <w:r>
        <w:rPr>
          <w:rFonts w:hint="eastAsia" w:ascii="微软雅黑" w:hAnsi="微软雅黑" w:eastAsia="微软雅黑" w:cs="微软雅黑"/>
          <w:bCs/>
          <w:sz w:val="21"/>
          <w:szCs w:val="21"/>
          <w:lang w:val="en-US" w:eastAsia="zh-CN"/>
        </w:rPr>
        <w:t>（略）</w:t>
      </w:r>
      <w:r>
        <w:rPr>
          <w:rFonts w:hint="eastAsia" w:ascii="微软雅黑" w:hAnsi="微软雅黑" w:eastAsia="微软雅黑" w:cs="微软雅黑"/>
          <w:bCs/>
          <w:sz w:val="21"/>
          <w:szCs w:val="21"/>
          <w:highlight w:val="none"/>
          <w:lang w:eastAsia="zh-CN"/>
        </w:rPr>
        <w:t>；</w:t>
      </w:r>
      <w:r>
        <w:rPr>
          <w:rFonts w:hint="eastAsia" w:ascii="微软雅黑" w:hAnsi="微软雅黑" w:eastAsia="微软雅黑" w:cs="微软雅黑"/>
          <w:bCs/>
          <w:sz w:val="21"/>
          <w:szCs w:val="21"/>
        </w:rPr>
        <w:t>银泰商业的全球</w:t>
      </w:r>
      <w:r>
        <w:rPr>
          <w:rFonts w:hint="eastAsia" w:ascii="微软雅黑" w:hAnsi="微软雅黑" w:eastAsia="微软雅黑" w:cs="微软雅黑"/>
          <w:bCs/>
          <w:sz w:val="21"/>
          <w:szCs w:val="21"/>
          <w:lang w:eastAsia="zh-CN"/>
        </w:rPr>
        <w:t>和中国境内营业额均</w:t>
      </w:r>
      <w:r>
        <w:rPr>
          <w:rFonts w:hint="eastAsia" w:ascii="微软雅黑" w:hAnsi="微软雅黑" w:eastAsia="微软雅黑" w:cs="微软雅黑"/>
          <w:bCs/>
          <w:sz w:val="21"/>
          <w:szCs w:val="21"/>
        </w:rPr>
        <w:t>为</w:t>
      </w:r>
      <w:r>
        <w:rPr>
          <w:rFonts w:hint="eastAsia" w:ascii="微软雅黑" w:hAnsi="微软雅黑" w:eastAsia="微软雅黑" w:cs="微软雅黑"/>
          <w:bCs/>
          <w:sz w:val="21"/>
          <w:szCs w:val="21"/>
          <w:lang w:val="en-US" w:eastAsia="zh-CN"/>
        </w:rPr>
        <w:t>（略）</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sz w:val="21"/>
          <w:szCs w:val="21"/>
        </w:rPr>
        <w:t>达到《国务院关于经营者集中申报标准的规定》第三条规定的申报标准，属于应当申报的情形。</w:t>
      </w:r>
    </w:p>
    <w:p>
      <w:pPr>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规定“经营者集中达到国务院规定的申报标准的，经营者应当事先向国务院反垄断执法机构申报，未申报的不得实施集中”。阿里巴巴投资收购银泰商业</w:t>
      </w:r>
      <w:r>
        <w:rPr>
          <w:rFonts w:hint="eastAsia" w:ascii="微软雅黑" w:hAnsi="微软雅黑" w:eastAsia="微软雅黑" w:cs="微软雅黑"/>
          <w:sz w:val="21"/>
          <w:szCs w:val="21"/>
        </w:rPr>
        <w:t>73.79%股权</w:t>
      </w:r>
      <w:r>
        <w:rPr>
          <w:rFonts w:hint="eastAsia" w:ascii="微软雅黑" w:hAnsi="微软雅黑" w:eastAsia="微软雅黑" w:cs="微软雅黑"/>
          <w:sz w:val="21"/>
          <w:szCs w:val="21"/>
          <w:lang w:eastAsia="zh-CN"/>
        </w:rPr>
        <w:t>的行为已于</w:t>
      </w:r>
      <w:r>
        <w:rPr>
          <w:rFonts w:hint="eastAsia" w:ascii="微软雅黑" w:hAnsi="微软雅黑" w:eastAsia="微软雅黑" w:cs="微软雅黑"/>
          <w:sz w:val="21"/>
          <w:szCs w:val="21"/>
          <w:lang w:val="en-US" w:eastAsia="zh-CN"/>
        </w:rPr>
        <w:t>2017年6月全部完成交割，</w:t>
      </w:r>
      <w:r>
        <w:rPr>
          <w:rFonts w:hint="eastAsia" w:ascii="微软雅黑" w:hAnsi="微软雅黑" w:eastAsia="微软雅黑" w:cs="微软雅黑"/>
          <w:sz w:val="21"/>
          <w:szCs w:val="21"/>
        </w:rPr>
        <w:t>在此之前未向我局申报，违反《反垄断法》第二十一条，构成未依法申报</w:t>
      </w:r>
      <w:r>
        <w:rPr>
          <w:rFonts w:hint="eastAsia" w:ascii="微软雅黑" w:hAnsi="微软雅黑" w:eastAsia="微软雅黑" w:cs="微软雅黑"/>
          <w:sz w:val="21"/>
          <w:szCs w:val="21"/>
          <w:lang w:eastAsia="zh-CN"/>
        </w:rPr>
        <w:t>违法实施的</w:t>
      </w:r>
      <w:r>
        <w:rPr>
          <w:rFonts w:hint="eastAsia" w:ascii="微软雅黑" w:hAnsi="微软雅黑" w:eastAsia="微软雅黑" w:cs="微软雅黑"/>
          <w:sz w:val="21"/>
          <w:szCs w:val="21"/>
        </w:rPr>
        <w:t>经营者集中。</w:t>
      </w:r>
    </w:p>
    <w:p>
      <w:pPr>
        <w:pageBreakBefore w:val="0"/>
        <w:numPr>
          <w:ilvl w:val="0"/>
          <w:numId w:val="1"/>
        </w:numPr>
        <w:kinsoku/>
        <w:wordWrap/>
        <w:topLinePunct w:val="0"/>
        <w:bidi w:val="0"/>
        <w:snapToGrid/>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本案不具有排除、限制竞争的效果。</w:t>
      </w:r>
    </w:p>
    <w:p>
      <w:pPr>
        <w:pageBreakBefore w:val="0"/>
        <w:numPr>
          <w:ilvl w:val="0"/>
          <w:numId w:val="0"/>
        </w:numPr>
        <w:kinsoku/>
        <w:wordWrap/>
        <w:topLinePunct w:val="0"/>
        <w:bidi w:val="0"/>
        <w:snapToGrid/>
        <w:spacing w:line="594" w:lineRule="exact"/>
        <w:ind w:firstLine="408" w:firstLineChars="200"/>
        <w:textAlignment w:val="auto"/>
        <w:outlineLvl w:val="0"/>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sz w:val="21"/>
          <w:szCs w:val="21"/>
          <w:lang w:eastAsia="zh-CN"/>
        </w:rPr>
        <w:t>阿里巴巴投资收购银泰商业</w:t>
      </w:r>
      <w:r>
        <w:rPr>
          <w:rFonts w:hint="eastAsia" w:ascii="微软雅黑" w:hAnsi="微软雅黑" w:eastAsia="微软雅黑" w:cs="微软雅黑"/>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kern w:val="2"/>
          <w:sz w:val="21"/>
          <w:szCs w:val="21"/>
        </w:rPr>
        <w:t>基于调查情况和评估结论，本机关</w:t>
      </w:r>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bCs/>
          <w:color w:val="000000"/>
          <w:kern w:val="2"/>
          <w:sz w:val="21"/>
          <w:szCs w:val="21"/>
          <w:lang w:val="en-US" w:eastAsia="zh-CN"/>
        </w:rPr>
        <w:t>阿里巴巴投资50万元人民币</w:t>
      </w:r>
      <w:r>
        <w:rPr>
          <w:rFonts w:hint="eastAsia" w:ascii="微软雅黑" w:hAnsi="微软雅黑" w:eastAsia="微软雅黑" w:cs="微软雅黑"/>
          <w:bCs/>
          <w:color w:val="000000"/>
          <w:kern w:val="2"/>
          <w:sz w:val="21"/>
          <w:szCs w:val="21"/>
        </w:rPr>
        <w:t>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方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kern w:val="2"/>
          <w:sz w:val="21"/>
          <w:szCs w:val="21"/>
          <w:lang w:eastAsia="zh-CN"/>
        </w:rPr>
        <w:t>为</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0000002000041857</w:t>
      </w:r>
      <w:r>
        <w:rPr>
          <w:rFonts w:hint="eastAsia" w:ascii="微软雅黑" w:hAnsi="微软雅黑" w:eastAsia="微软雅黑" w:cs="微软雅黑"/>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 xml:space="preserve">当事方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2020年</w:t>
      </w:r>
      <w:r>
        <w:rPr>
          <w:rFonts w:hint="eastAsia" w:ascii="微软雅黑" w:hAnsi="微软雅黑" w:eastAsia="微软雅黑" w:cs="微软雅黑"/>
          <w:kern w:val="2"/>
          <w:sz w:val="21"/>
          <w:szCs w:val="21"/>
          <w:lang w:val="en-US" w:eastAsia="zh-CN"/>
        </w:rPr>
        <w:t>12</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14</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（此件公开发布）</w:t>
      </w:r>
    </w:p>
    <w:bookmarkEnd w:id="0"/>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646F4"/>
    <w:multiLevelType w:val="singleLevel"/>
    <w:tmpl w:val="D72646F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2"/>
  <w:drawingGridVerticalSpacing w:val="28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581"/>
    <w:rsid w:val="000548A3"/>
    <w:rsid w:val="000827DF"/>
    <w:rsid w:val="00091794"/>
    <w:rsid w:val="00104DF8"/>
    <w:rsid w:val="0012430A"/>
    <w:rsid w:val="00133F5C"/>
    <w:rsid w:val="001377A0"/>
    <w:rsid w:val="00157F53"/>
    <w:rsid w:val="001659F5"/>
    <w:rsid w:val="001D38FA"/>
    <w:rsid w:val="001D41C2"/>
    <w:rsid w:val="00215C4B"/>
    <w:rsid w:val="002211B6"/>
    <w:rsid w:val="00224158"/>
    <w:rsid w:val="00234B72"/>
    <w:rsid w:val="00245423"/>
    <w:rsid w:val="00252E7C"/>
    <w:rsid w:val="00290548"/>
    <w:rsid w:val="00295562"/>
    <w:rsid w:val="002A1B6C"/>
    <w:rsid w:val="002A7578"/>
    <w:rsid w:val="002D4659"/>
    <w:rsid w:val="002D6CFB"/>
    <w:rsid w:val="002D7588"/>
    <w:rsid w:val="002F155E"/>
    <w:rsid w:val="0031556A"/>
    <w:rsid w:val="00373D66"/>
    <w:rsid w:val="003A1E45"/>
    <w:rsid w:val="003A4782"/>
    <w:rsid w:val="003D3BC1"/>
    <w:rsid w:val="003D6E20"/>
    <w:rsid w:val="003F7ACA"/>
    <w:rsid w:val="004715CB"/>
    <w:rsid w:val="004A3B22"/>
    <w:rsid w:val="004A6137"/>
    <w:rsid w:val="004B0121"/>
    <w:rsid w:val="004B1754"/>
    <w:rsid w:val="004B55D7"/>
    <w:rsid w:val="004B6FC4"/>
    <w:rsid w:val="004B7197"/>
    <w:rsid w:val="004C4C76"/>
    <w:rsid w:val="005036C6"/>
    <w:rsid w:val="00521A14"/>
    <w:rsid w:val="00550A0E"/>
    <w:rsid w:val="005701B7"/>
    <w:rsid w:val="0057731C"/>
    <w:rsid w:val="005834E9"/>
    <w:rsid w:val="00583867"/>
    <w:rsid w:val="00587D8A"/>
    <w:rsid w:val="005927DC"/>
    <w:rsid w:val="005B5018"/>
    <w:rsid w:val="005D07A8"/>
    <w:rsid w:val="005D48B1"/>
    <w:rsid w:val="00604C0E"/>
    <w:rsid w:val="00614049"/>
    <w:rsid w:val="00630C68"/>
    <w:rsid w:val="00655AF9"/>
    <w:rsid w:val="00656161"/>
    <w:rsid w:val="006578EE"/>
    <w:rsid w:val="00660A94"/>
    <w:rsid w:val="00661399"/>
    <w:rsid w:val="0066394B"/>
    <w:rsid w:val="006A3757"/>
    <w:rsid w:val="006A50C5"/>
    <w:rsid w:val="006A5BC7"/>
    <w:rsid w:val="006B5883"/>
    <w:rsid w:val="006C3A6D"/>
    <w:rsid w:val="006D4879"/>
    <w:rsid w:val="006E715E"/>
    <w:rsid w:val="00703F3B"/>
    <w:rsid w:val="00705AB4"/>
    <w:rsid w:val="00725EB8"/>
    <w:rsid w:val="0073264D"/>
    <w:rsid w:val="0076009F"/>
    <w:rsid w:val="007754D3"/>
    <w:rsid w:val="007B40DF"/>
    <w:rsid w:val="007C5FFE"/>
    <w:rsid w:val="007E404F"/>
    <w:rsid w:val="008039F4"/>
    <w:rsid w:val="008421E5"/>
    <w:rsid w:val="008546C0"/>
    <w:rsid w:val="0086703C"/>
    <w:rsid w:val="00880EEE"/>
    <w:rsid w:val="008A6262"/>
    <w:rsid w:val="008C4F45"/>
    <w:rsid w:val="008C74C9"/>
    <w:rsid w:val="008F7380"/>
    <w:rsid w:val="009054BC"/>
    <w:rsid w:val="00933B18"/>
    <w:rsid w:val="009766E6"/>
    <w:rsid w:val="009C1DFA"/>
    <w:rsid w:val="009C2E79"/>
    <w:rsid w:val="009C64B1"/>
    <w:rsid w:val="00A1167A"/>
    <w:rsid w:val="00A43255"/>
    <w:rsid w:val="00A43444"/>
    <w:rsid w:val="00A579FA"/>
    <w:rsid w:val="00A64434"/>
    <w:rsid w:val="00A863CB"/>
    <w:rsid w:val="00AA210A"/>
    <w:rsid w:val="00AF28DA"/>
    <w:rsid w:val="00AF75F0"/>
    <w:rsid w:val="00B219BA"/>
    <w:rsid w:val="00B26526"/>
    <w:rsid w:val="00B63EEB"/>
    <w:rsid w:val="00B73583"/>
    <w:rsid w:val="00B76FB1"/>
    <w:rsid w:val="00B94346"/>
    <w:rsid w:val="00B948A7"/>
    <w:rsid w:val="00B972B7"/>
    <w:rsid w:val="00BA16FE"/>
    <w:rsid w:val="00BD7CF0"/>
    <w:rsid w:val="00BE39C4"/>
    <w:rsid w:val="00BF319F"/>
    <w:rsid w:val="00C0343D"/>
    <w:rsid w:val="00C157EB"/>
    <w:rsid w:val="00C206BA"/>
    <w:rsid w:val="00C302A6"/>
    <w:rsid w:val="00C54183"/>
    <w:rsid w:val="00C77643"/>
    <w:rsid w:val="00C87B50"/>
    <w:rsid w:val="00CC3D1E"/>
    <w:rsid w:val="00D039F2"/>
    <w:rsid w:val="00D03E5A"/>
    <w:rsid w:val="00D10C55"/>
    <w:rsid w:val="00D12714"/>
    <w:rsid w:val="00D216FE"/>
    <w:rsid w:val="00D26834"/>
    <w:rsid w:val="00D30DD5"/>
    <w:rsid w:val="00D40512"/>
    <w:rsid w:val="00D43969"/>
    <w:rsid w:val="00D61F35"/>
    <w:rsid w:val="00D64391"/>
    <w:rsid w:val="00D71DFB"/>
    <w:rsid w:val="00D71ED4"/>
    <w:rsid w:val="00D746CB"/>
    <w:rsid w:val="00D85D06"/>
    <w:rsid w:val="00D873E3"/>
    <w:rsid w:val="00DB5CAF"/>
    <w:rsid w:val="00DD56EC"/>
    <w:rsid w:val="00DE3DCF"/>
    <w:rsid w:val="00E22F9F"/>
    <w:rsid w:val="00E4554C"/>
    <w:rsid w:val="00E508DB"/>
    <w:rsid w:val="00E541CD"/>
    <w:rsid w:val="00E557EF"/>
    <w:rsid w:val="00E55B87"/>
    <w:rsid w:val="00EA037C"/>
    <w:rsid w:val="00EC0E39"/>
    <w:rsid w:val="00EC70E9"/>
    <w:rsid w:val="00ED1821"/>
    <w:rsid w:val="00ED42C0"/>
    <w:rsid w:val="00F02F79"/>
    <w:rsid w:val="00F10C7C"/>
    <w:rsid w:val="00F20E60"/>
    <w:rsid w:val="00F72F95"/>
    <w:rsid w:val="00F90DCE"/>
    <w:rsid w:val="00FA4B88"/>
    <w:rsid w:val="00FC731D"/>
    <w:rsid w:val="00FD276D"/>
    <w:rsid w:val="00FE4FC2"/>
    <w:rsid w:val="00FE6553"/>
    <w:rsid w:val="03570C80"/>
    <w:rsid w:val="040D264D"/>
    <w:rsid w:val="04E75D87"/>
    <w:rsid w:val="0831041B"/>
    <w:rsid w:val="0B307E77"/>
    <w:rsid w:val="0D4D2427"/>
    <w:rsid w:val="104E0B39"/>
    <w:rsid w:val="132500A4"/>
    <w:rsid w:val="13752A27"/>
    <w:rsid w:val="177C27C1"/>
    <w:rsid w:val="1B28094D"/>
    <w:rsid w:val="211B31BE"/>
    <w:rsid w:val="2DE60730"/>
    <w:rsid w:val="2E301C88"/>
    <w:rsid w:val="301A4762"/>
    <w:rsid w:val="32DC238B"/>
    <w:rsid w:val="34792C88"/>
    <w:rsid w:val="36281474"/>
    <w:rsid w:val="387A11F8"/>
    <w:rsid w:val="3ABD31FA"/>
    <w:rsid w:val="3DC93C77"/>
    <w:rsid w:val="3E816520"/>
    <w:rsid w:val="3E974195"/>
    <w:rsid w:val="451B0817"/>
    <w:rsid w:val="4AB65652"/>
    <w:rsid w:val="4D39790A"/>
    <w:rsid w:val="542559AB"/>
    <w:rsid w:val="542A0388"/>
    <w:rsid w:val="55803A86"/>
    <w:rsid w:val="5F3D449D"/>
    <w:rsid w:val="5FD779FB"/>
    <w:rsid w:val="63464DED"/>
    <w:rsid w:val="653809D0"/>
    <w:rsid w:val="66034A8F"/>
    <w:rsid w:val="6B146BDD"/>
    <w:rsid w:val="74D14500"/>
    <w:rsid w:val="7C291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0">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4</Pages>
  <Words>250</Words>
  <Characters>1427</Characters>
  <Lines>11</Lines>
  <Paragraphs>3</Paragraphs>
  <TotalTime>32</TotalTime>
  <ScaleCrop>false</ScaleCrop>
  <LinksUpToDate>false</LinksUpToDate>
  <CharactersWithSpaces>1674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2020-04-01T01:55:00Z</dcterms:created>
  <dc:creator>FtpDown</dc:creator>
  <cp:lastModifiedBy>陈永仁</cp:lastModifiedBy>
  <cp:lastPrinted>2020-12-14T02:32:00Z</cp:lastPrinted>
  <dcterms:modified xsi:type="dcterms:W3CDTF">2020-12-14T06:32:02Z</dcterms:modified>
  <dc:title>国有工商行政管理总局行政处罚公告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