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微软雅黑" w:hAnsi="微软雅黑" w:eastAsia="微软雅黑" w:cs="微软雅黑"/>
          <w:b w:val="0"/>
          <w:bCs w:val="0"/>
          <w:color w:val="000000"/>
          <w:spacing w:val="30"/>
          <w:kern w:val="0"/>
          <w:sz w:val="21"/>
          <w:szCs w:val="21"/>
          <w:fitText w:val="5742" w:id="0"/>
        </w:rPr>
      </w:pPr>
      <w:bookmarkStart w:id="0" w:name="_GoBack"/>
      <w:r>
        <w:rPr>
          <w:rFonts w:ascii="微软雅黑" w:hAnsi="微软雅黑" w:eastAsia="微软雅黑" w:cs="微软雅黑"/>
          <w:b w:val="0"/>
          <w:bCs w:val="0"/>
          <w:i w:val="0"/>
          <w:caps w:val="0"/>
          <w:color w:val="333333"/>
          <w:spacing w:val="0"/>
          <w:sz w:val="21"/>
          <w:szCs w:val="21"/>
          <w:shd w:val="clear" w:fill="FFFFFF"/>
          <w:lang w:val="en-US"/>
        </w:rPr>
        <w:t>2019</w:t>
      </w:r>
      <w:r>
        <w:rPr>
          <w:rFonts w:hint="eastAsia" w:ascii="微软雅黑" w:hAnsi="微软雅黑" w:eastAsia="微软雅黑" w:cs="微软雅黑"/>
          <w:b w:val="0"/>
          <w:bCs w:val="0"/>
          <w:i w:val="0"/>
          <w:caps w:val="0"/>
          <w:color w:val="333333"/>
          <w:spacing w:val="0"/>
          <w:sz w:val="21"/>
          <w:szCs w:val="21"/>
          <w:shd w:val="clear" w:fill="FFFFFF"/>
        </w:rPr>
        <w:t>年6月25日，国家市场监督管理总局对国巨股份有限公司收购君耀控股股份有限公司股权未依法申报案作出行政处罚决定。现将行政处罚决定书予以公告。</w:t>
      </w:r>
    </w:p>
    <w:p>
      <w:pPr>
        <w:spacing w:line="540" w:lineRule="exact"/>
        <w:jc w:val="center"/>
        <w:rPr>
          <w:rFonts w:hint="eastAsia" w:ascii="微软雅黑" w:hAnsi="微软雅黑" w:eastAsia="微软雅黑" w:cs="微软雅黑"/>
          <w:b/>
          <w:bCs w:val="0"/>
          <w:color w:val="000000"/>
          <w:sz w:val="21"/>
          <w:szCs w:val="21"/>
        </w:rPr>
      </w:pPr>
      <w:r>
        <w:rPr>
          <w:rFonts w:hint="eastAsia" w:ascii="微软雅黑" w:hAnsi="微软雅黑" w:eastAsia="微软雅黑" w:cs="微软雅黑"/>
          <w:b/>
          <w:bCs w:val="0"/>
          <w:color w:val="000000"/>
          <w:spacing w:val="30"/>
          <w:kern w:val="0"/>
          <w:sz w:val="21"/>
          <w:szCs w:val="21"/>
          <w:fitText w:val="5742" w:id="1"/>
        </w:rPr>
        <w:t>国家市场监督管理总</w:t>
      </w:r>
      <w:r>
        <w:rPr>
          <w:rFonts w:hint="eastAsia" w:ascii="微软雅黑" w:hAnsi="微软雅黑" w:eastAsia="微软雅黑" w:cs="微软雅黑"/>
          <w:b/>
          <w:bCs w:val="0"/>
          <w:color w:val="000000"/>
          <w:spacing w:val="1"/>
          <w:kern w:val="0"/>
          <w:sz w:val="21"/>
          <w:szCs w:val="21"/>
          <w:fitText w:val="5742" w:id="1"/>
        </w:rPr>
        <w:t>局</w:t>
      </w:r>
    </w:p>
    <w:p>
      <w:pPr>
        <w:spacing w:line="540" w:lineRule="exact"/>
        <w:jc w:val="center"/>
        <w:rPr>
          <w:rFonts w:hint="eastAsia" w:ascii="微软雅黑" w:hAnsi="微软雅黑" w:eastAsia="微软雅黑" w:cs="微软雅黑"/>
          <w:b/>
          <w:bCs w:val="0"/>
          <w:color w:val="000000"/>
          <w:sz w:val="21"/>
          <w:szCs w:val="21"/>
        </w:rPr>
      </w:pPr>
      <w:r>
        <w:rPr>
          <w:rFonts w:hint="eastAsia" w:ascii="微软雅黑" w:hAnsi="微软雅黑" w:eastAsia="微软雅黑" w:cs="微软雅黑"/>
          <w:b/>
          <w:bCs w:val="0"/>
          <w:color w:val="000000"/>
          <w:spacing w:val="175"/>
          <w:kern w:val="0"/>
          <w:sz w:val="21"/>
          <w:szCs w:val="21"/>
          <w:fitText w:val="5742" w:id="2"/>
        </w:rPr>
        <w:t>行政处罚决定</w:t>
      </w:r>
      <w:r>
        <w:rPr>
          <w:rFonts w:hint="eastAsia" w:ascii="微软雅黑" w:hAnsi="微软雅黑" w:eastAsia="微软雅黑" w:cs="微软雅黑"/>
          <w:b/>
          <w:bCs w:val="0"/>
          <w:color w:val="000000"/>
          <w:spacing w:val="1"/>
          <w:kern w:val="0"/>
          <w:sz w:val="21"/>
          <w:szCs w:val="21"/>
          <w:fitText w:val="5742" w:id="2"/>
        </w:rPr>
        <w:t>书</w:t>
      </w:r>
    </w:p>
    <w:p>
      <w:pPr>
        <w:spacing w:line="54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国市监处〔2019〕19号</w:t>
      </w:r>
    </w:p>
    <w:p>
      <w:pPr>
        <w:spacing w:line="500" w:lineRule="exact"/>
        <w:jc w:val="center"/>
        <w:rPr>
          <w:rFonts w:hint="eastAsia" w:ascii="微软雅黑" w:hAnsi="微软雅黑" w:eastAsia="微软雅黑" w:cs="微软雅黑"/>
          <w:sz w:val="21"/>
          <w:szCs w:val="21"/>
        </w:rPr>
      </w:pPr>
    </w:p>
    <w:p>
      <w:pPr>
        <w:suppressAutoHyphens/>
        <w:overflowPunct w:val="0"/>
        <w:autoSpaceDE w:val="0"/>
        <w:autoSpaceDN w:val="0"/>
        <w:adjustRightInd w:val="0"/>
        <w:spacing w:line="500" w:lineRule="exact"/>
        <w:ind w:firstLine="406" w:firstLineChars="199"/>
        <w:rPr>
          <w:rFonts w:hint="eastAsia" w:ascii="微软雅黑" w:hAnsi="微软雅黑" w:eastAsia="微软雅黑" w:cs="微软雅黑"/>
          <w:sz w:val="21"/>
          <w:szCs w:val="21"/>
        </w:rPr>
      </w:pPr>
      <w:r>
        <w:rPr>
          <w:rFonts w:hint="eastAsia" w:ascii="微软雅黑" w:hAnsi="微软雅黑" w:eastAsia="微软雅黑" w:cs="微软雅黑"/>
          <w:sz w:val="21"/>
          <w:szCs w:val="21"/>
        </w:rPr>
        <w:t>当事人：</w:t>
      </w:r>
      <w:r>
        <w:rPr>
          <w:rFonts w:hint="eastAsia" w:ascii="微软雅黑" w:hAnsi="微软雅黑" w:eastAsia="微软雅黑" w:cs="微软雅黑"/>
          <w:sz w:val="21"/>
          <w:szCs w:val="21"/>
        </w:rPr>
        <w:t>国巨股份有限公司</w:t>
      </w:r>
    </w:p>
    <w:p>
      <w:pPr>
        <w:suppressAutoHyphens/>
        <w:overflowPunct w:val="0"/>
        <w:autoSpaceDE w:val="0"/>
        <w:autoSpaceDN w:val="0"/>
        <w:adjustRightInd w:val="0"/>
        <w:spacing w:line="500" w:lineRule="exact"/>
        <w:ind w:firstLine="408"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住  所：</w:t>
      </w:r>
      <w:r>
        <w:rPr>
          <w:rFonts w:hint="eastAsia" w:ascii="微软雅黑" w:hAnsi="微软雅黑" w:eastAsia="微软雅黑" w:cs="微软雅黑"/>
          <w:sz w:val="21"/>
          <w:szCs w:val="21"/>
        </w:rPr>
        <w:t>台湾地区新北市新店区宝桥路233-1号3楼</w:t>
      </w:r>
    </w:p>
    <w:p>
      <w:pPr>
        <w:suppressAutoHyphens/>
        <w:overflowPunct w:val="0"/>
        <w:autoSpaceDE w:val="0"/>
        <w:autoSpaceDN w:val="0"/>
        <w:adjustRightInd w:val="0"/>
        <w:spacing w:line="500" w:lineRule="exact"/>
        <w:ind w:firstLine="408" w:firstLineChars="200"/>
        <w:rPr>
          <w:rFonts w:hint="eastAsia" w:ascii="微软雅黑" w:hAnsi="微软雅黑" w:eastAsia="微软雅黑" w:cs="微软雅黑"/>
          <w:sz w:val="21"/>
          <w:szCs w:val="21"/>
        </w:rPr>
      </w:pPr>
    </w:p>
    <w:p>
      <w:pPr>
        <w:suppressAutoHyphens/>
        <w:overflowPunct w:val="0"/>
        <w:autoSpaceDE w:val="0"/>
        <w:autoSpaceDN w:val="0"/>
        <w:adjustRightInd w:val="0"/>
        <w:spacing w:line="500" w:lineRule="exact"/>
        <w:ind w:firstLine="408"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根据《反垄断法》《未依法申报经营者集中调查处理暂行办法》(以下简称《暂行办法》），本机关于2018年9月26日对</w:t>
      </w:r>
      <w:r>
        <w:rPr>
          <w:rFonts w:hint="eastAsia" w:ascii="微软雅黑" w:hAnsi="微软雅黑" w:eastAsia="微软雅黑" w:cs="微软雅黑"/>
          <w:sz w:val="21"/>
          <w:szCs w:val="21"/>
        </w:rPr>
        <w:t>国巨股份有限公司（</w:t>
      </w:r>
      <w:r>
        <w:rPr>
          <w:rFonts w:hint="eastAsia" w:ascii="微软雅黑" w:hAnsi="微软雅黑" w:eastAsia="微软雅黑" w:cs="微软雅黑"/>
          <w:sz w:val="21"/>
          <w:szCs w:val="21"/>
        </w:rPr>
        <w:t>以下简称</w:t>
      </w:r>
      <w:r>
        <w:rPr>
          <w:rFonts w:hint="eastAsia" w:ascii="微软雅黑" w:hAnsi="微软雅黑" w:eastAsia="微软雅黑" w:cs="微软雅黑"/>
          <w:sz w:val="21"/>
          <w:szCs w:val="21"/>
        </w:rPr>
        <w:t>国巨）收购君耀控股股份有限公司</w:t>
      </w:r>
      <w:r>
        <w:rPr>
          <w:rFonts w:hint="eastAsia" w:ascii="微软雅黑" w:hAnsi="微软雅黑" w:eastAsia="微软雅黑" w:cs="微软雅黑"/>
          <w:sz w:val="21"/>
          <w:szCs w:val="21"/>
        </w:rPr>
        <w:t>（以下简称</w:t>
      </w:r>
      <w:r>
        <w:rPr>
          <w:rFonts w:hint="eastAsia" w:ascii="微软雅黑" w:hAnsi="微软雅黑" w:eastAsia="微软雅黑" w:cs="微软雅黑"/>
          <w:sz w:val="21"/>
          <w:szCs w:val="21"/>
        </w:rPr>
        <w:t>君耀</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rPr>
        <w:t>股权</w:t>
      </w:r>
      <w:r>
        <w:rPr>
          <w:rFonts w:hint="eastAsia" w:ascii="微软雅黑" w:hAnsi="微软雅黑" w:eastAsia="微软雅黑" w:cs="微软雅黑"/>
          <w:sz w:val="21"/>
          <w:szCs w:val="21"/>
        </w:rPr>
        <w:t>涉嫌未依法申报违法实施经营者集中案进行立案调查。</w:t>
      </w:r>
    </w:p>
    <w:p>
      <w:pPr>
        <w:suppressAutoHyphens/>
        <w:overflowPunct w:val="0"/>
        <w:autoSpaceDE w:val="0"/>
        <w:autoSpaceDN w:val="0"/>
        <w:adjustRightInd w:val="0"/>
        <w:spacing w:line="500" w:lineRule="exact"/>
        <w:ind w:firstLine="408"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经查，该案构成未依法申报违法实施的经营者集中，但不具有排除、限制竞争的效果。本机关按照《行政处罚法》的规定，向国巨送达了《行政处罚告知书》，告知其拟作出行政处罚决定的事实、理由、证据、处罚内容，以及其依法享有的陈述权、申辩权和要求听证权。国巨在规定期限内没有提出陈述、申辩意见或要求举行听证。本案现已调查、审理终结。</w:t>
      </w:r>
    </w:p>
    <w:p>
      <w:pPr>
        <w:suppressAutoHyphens/>
        <w:overflowPunct w:val="0"/>
        <w:autoSpaceDE w:val="0"/>
        <w:autoSpaceDN w:val="0"/>
        <w:adjustRightInd w:val="0"/>
        <w:spacing w:line="500" w:lineRule="exact"/>
        <w:ind w:firstLine="408"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一、基本情况</w:t>
      </w:r>
    </w:p>
    <w:p>
      <w:pPr>
        <w:suppressAutoHyphens/>
        <w:overflowPunct w:val="0"/>
        <w:autoSpaceDE w:val="0"/>
        <w:autoSpaceDN w:val="0"/>
        <w:adjustRightInd w:val="0"/>
        <w:spacing w:line="500" w:lineRule="exact"/>
        <w:ind w:firstLine="408"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（一）交易方。</w:t>
      </w:r>
    </w:p>
    <w:p>
      <w:pPr>
        <w:suppressAutoHyphens/>
        <w:overflowPunct w:val="0"/>
        <w:autoSpaceDE w:val="0"/>
        <w:autoSpaceDN w:val="0"/>
        <w:adjustRightInd w:val="0"/>
        <w:spacing w:line="500" w:lineRule="exact"/>
        <w:ind w:firstLine="408" w:firstLineChars="200"/>
        <w:rPr>
          <w:rFonts w:hint="eastAsia" w:ascii="微软雅黑" w:hAnsi="微软雅黑" w:eastAsia="微软雅黑" w:cs="微软雅黑"/>
          <w:sz w:val="21"/>
          <w:szCs w:val="21"/>
        </w:rPr>
      </w:pPr>
      <w:r>
        <w:rPr>
          <w:rFonts w:hint="eastAsia" w:ascii="微软雅黑" w:hAnsi="微软雅黑" w:eastAsia="微软雅黑" w:cs="微软雅黑"/>
          <w:b/>
          <w:sz w:val="21"/>
          <w:szCs w:val="21"/>
        </w:rPr>
        <w:t>收购方：国巨。</w:t>
      </w:r>
      <w:r>
        <w:rPr>
          <w:rFonts w:hint="eastAsia" w:ascii="微软雅黑" w:hAnsi="微软雅黑" w:eastAsia="微软雅黑" w:cs="微软雅黑"/>
          <w:sz w:val="21"/>
          <w:szCs w:val="21"/>
        </w:rPr>
        <w:t>1987</w:t>
      </w:r>
      <w:r>
        <w:rPr>
          <w:rFonts w:hint="eastAsia" w:ascii="微软雅黑" w:hAnsi="微软雅黑" w:eastAsia="微软雅黑" w:cs="微软雅黑"/>
          <w:sz w:val="21"/>
          <w:szCs w:val="21"/>
        </w:rPr>
        <w:t>年在</w:t>
      </w:r>
      <w:r>
        <w:rPr>
          <w:rFonts w:hint="eastAsia" w:ascii="微软雅黑" w:hAnsi="微软雅黑" w:eastAsia="微软雅黑" w:cs="微软雅黑"/>
          <w:sz w:val="21"/>
          <w:szCs w:val="21"/>
        </w:rPr>
        <w:t>中国台湾</w:t>
      </w:r>
      <w:r>
        <w:rPr>
          <w:rFonts w:hint="eastAsia" w:ascii="微软雅黑" w:hAnsi="微软雅黑" w:eastAsia="微软雅黑" w:cs="微软雅黑"/>
          <w:sz w:val="21"/>
          <w:szCs w:val="21"/>
        </w:rPr>
        <w:t>注册成立</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rPr>
        <w:t>1993年10月在台湾证券交易所上市，</w:t>
      </w:r>
      <w:r>
        <w:rPr>
          <w:rFonts w:hint="eastAsia" w:ascii="微软雅黑" w:hAnsi="微软雅黑" w:eastAsia="微软雅黑" w:cs="微软雅黑"/>
          <w:sz w:val="21"/>
          <w:szCs w:val="21"/>
        </w:rPr>
        <w:t>无最终控制人</w:t>
      </w:r>
      <w:r>
        <w:rPr>
          <w:rFonts w:hint="eastAsia" w:ascii="微软雅黑" w:hAnsi="微软雅黑" w:eastAsia="微软雅黑" w:cs="微软雅黑"/>
          <w:sz w:val="21"/>
          <w:szCs w:val="21"/>
        </w:rPr>
        <w:t>。国巨主要从事电阻、电容等电子元件的生产和销售</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rPr>
        <w:t>其生产及销售据点涵盖亚洲、欧洲及美洲</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rPr>
        <w:t>国巨在中国从事业务，</w:t>
      </w:r>
      <w:r>
        <w:rPr>
          <w:rFonts w:hint="eastAsia" w:ascii="微软雅黑" w:hAnsi="微软雅黑" w:eastAsia="微软雅黑" w:cs="微软雅黑"/>
          <w:sz w:val="21"/>
          <w:szCs w:val="21"/>
        </w:rPr>
        <w:t>(略)</w:t>
      </w:r>
      <w:r>
        <w:rPr>
          <w:rFonts w:hint="eastAsia" w:ascii="微软雅黑" w:hAnsi="微软雅黑" w:eastAsia="微软雅黑" w:cs="微软雅黑"/>
          <w:sz w:val="21"/>
          <w:szCs w:val="21"/>
        </w:rPr>
        <w:t>。201</w:t>
      </w:r>
      <w:r>
        <w:rPr>
          <w:rFonts w:hint="eastAsia" w:ascii="微软雅黑" w:hAnsi="微软雅黑" w:eastAsia="微软雅黑" w:cs="微软雅黑"/>
          <w:sz w:val="21"/>
          <w:szCs w:val="21"/>
        </w:rPr>
        <w:t>7</w:t>
      </w:r>
      <w:r>
        <w:rPr>
          <w:rFonts w:hint="eastAsia" w:ascii="微软雅黑" w:hAnsi="微软雅黑" w:eastAsia="微软雅黑" w:cs="微软雅黑"/>
          <w:sz w:val="21"/>
          <w:szCs w:val="21"/>
        </w:rPr>
        <w:t>年</w:t>
      </w:r>
      <w:r>
        <w:rPr>
          <w:rFonts w:hint="eastAsia" w:ascii="微软雅黑" w:hAnsi="微软雅黑" w:eastAsia="微软雅黑" w:cs="微软雅黑"/>
          <w:sz w:val="21"/>
          <w:szCs w:val="21"/>
        </w:rPr>
        <w:t>国巨全球和中国营业额分别为(略)。</w:t>
      </w:r>
    </w:p>
    <w:p>
      <w:pPr>
        <w:suppressAutoHyphens/>
        <w:overflowPunct w:val="0"/>
        <w:autoSpaceDE w:val="0"/>
        <w:autoSpaceDN w:val="0"/>
        <w:adjustRightInd w:val="0"/>
        <w:spacing w:line="500" w:lineRule="exact"/>
        <w:ind w:firstLine="408" w:firstLineChars="200"/>
        <w:rPr>
          <w:rFonts w:hint="eastAsia" w:ascii="微软雅黑" w:hAnsi="微软雅黑" w:eastAsia="微软雅黑" w:cs="微软雅黑"/>
          <w:sz w:val="21"/>
          <w:szCs w:val="21"/>
        </w:rPr>
      </w:pPr>
      <w:r>
        <w:rPr>
          <w:rFonts w:hint="eastAsia" w:ascii="微软雅黑" w:hAnsi="微软雅黑" w:eastAsia="微软雅黑" w:cs="微软雅黑"/>
          <w:b/>
          <w:sz w:val="21"/>
          <w:szCs w:val="21"/>
        </w:rPr>
        <w:t>被收购方</w:t>
      </w:r>
      <w:r>
        <w:rPr>
          <w:rFonts w:hint="eastAsia" w:ascii="微软雅黑" w:hAnsi="微软雅黑" w:eastAsia="微软雅黑" w:cs="微软雅黑"/>
          <w:b/>
          <w:sz w:val="21"/>
          <w:szCs w:val="21"/>
        </w:rPr>
        <w:t>：君耀。</w:t>
      </w:r>
      <w:r>
        <w:rPr>
          <w:rFonts w:hint="eastAsia" w:ascii="微软雅黑" w:hAnsi="微软雅黑" w:eastAsia="微软雅黑" w:cs="微软雅黑"/>
          <w:sz w:val="21"/>
          <w:szCs w:val="21"/>
        </w:rPr>
        <w:t>1999年在英属开曼群岛注册成立，</w:t>
      </w:r>
      <w:r>
        <w:rPr>
          <w:rFonts w:hint="eastAsia" w:ascii="微软雅黑" w:hAnsi="微软雅黑" w:eastAsia="微软雅黑" w:cs="微软雅黑"/>
          <w:sz w:val="21"/>
          <w:szCs w:val="21"/>
        </w:rPr>
        <w:t>2014年</w:t>
      </w:r>
      <w:r>
        <w:rPr>
          <w:rFonts w:hint="eastAsia" w:ascii="微软雅黑" w:hAnsi="微软雅黑" w:eastAsia="微软雅黑" w:cs="微软雅黑"/>
          <w:sz w:val="21"/>
          <w:szCs w:val="21"/>
        </w:rPr>
        <w:t>在台湾证券交易所上市，(略)</w:t>
      </w:r>
      <w:r>
        <w:rPr>
          <w:rFonts w:hint="eastAsia" w:ascii="微软雅黑" w:hAnsi="微软雅黑" w:eastAsia="微软雅黑" w:cs="微软雅黑"/>
          <w:sz w:val="21"/>
          <w:szCs w:val="21"/>
        </w:rPr>
        <w:t>，为电路保护元器件供应商，主要业务为过电压、过电流电子保护元器件</w:t>
      </w:r>
      <w:r>
        <w:rPr>
          <w:rFonts w:hint="eastAsia" w:ascii="微软雅黑" w:hAnsi="微软雅黑" w:eastAsia="微软雅黑" w:cs="微软雅黑"/>
          <w:sz w:val="21"/>
          <w:szCs w:val="21"/>
        </w:rPr>
        <w:t>的</w:t>
      </w:r>
      <w:r>
        <w:rPr>
          <w:rFonts w:hint="eastAsia" w:ascii="微软雅黑" w:hAnsi="微软雅黑" w:eastAsia="微软雅黑" w:cs="微软雅黑"/>
          <w:sz w:val="21"/>
          <w:szCs w:val="21"/>
        </w:rPr>
        <w:t>研发、设计、生产及销售。201</w:t>
      </w:r>
      <w:r>
        <w:rPr>
          <w:rFonts w:hint="eastAsia" w:ascii="微软雅黑" w:hAnsi="微软雅黑" w:eastAsia="微软雅黑" w:cs="微软雅黑"/>
          <w:sz w:val="21"/>
          <w:szCs w:val="21"/>
        </w:rPr>
        <w:t>7</w:t>
      </w:r>
      <w:r>
        <w:rPr>
          <w:rFonts w:hint="eastAsia" w:ascii="微软雅黑" w:hAnsi="微软雅黑" w:eastAsia="微软雅黑" w:cs="微软雅黑"/>
          <w:sz w:val="21"/>
          <w:szCs w:val="21"/>
        </w:rPr>
        <w:t>年</w:t>
      </w:r>
      <w:r>
        <w:rPr>
          <w:rFonts w:hint="eastAsia" w:ascii="微软雅黑" w:hAnsi="微软雅黑" w:eastAsia="微软雅黑" w:cs="微软雅黑"/>
          <w:sz w:val="21"/>
          <w:szCs w:val="21"/>
        </w:rPr>
        <w:t>全球和中国</w:t>
      </w:r>
      <w:r>
        <w:rPr>
          <w:rFonts w:hint="eastAsia" w:ascii="微软雅黑" w:hAnsi="微软雅黑" w:eastAsia="微软雅黑" w:cs="微软雅黑"/>
          <w:sz w:val="21"/>
          <w:szCs w:val="21"/>
        </w:rPr>
        <w:t>营业额</w:t>
      </w:r>
      <w:r>
        <w:rPr>
          <w:rFonts w:hint="eastAsia" w:ascii="微软雅黑" w:hAnsi="微软雅黑" w:eastAsia="微软雅黑" w:cs="微软雅黑"/>
          <w:sz w:val="21"/>
          <w:szCs w:val="21"/>
        </w:rPr>
        <w:t>分别为(略)。</w:t>
      </w:r>
    </w:p>
    <w:p>
      <w:pPr>
        <w:suppressAutoHyphens/>
        <w:overflowPunct w:val="0"/>
        <w:autoSpaceDE w:val="0"/>
        <w:autoSpaceDN w:val="0"/>
        <w:adjustRightInd w:val="0"/>
        <w:spacing w:line="500" w:lineRule="exact"/>
        <w:ind w:firstLine="408"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（二）交易概况。</w:t>
      </w:r>
    </w:p>
    <w:p>
      <w:pPr>
        <w:suppressAutoHyphens/>
        <w:overflowPunct w:val="0"/>
        <w:autoSpaceDE w:val="0"/>
        <w:autoSpaceDN w:val="0"/>
        <w:adjustRightInd w:val="0"/>
        <w:spacing w:line="500" w:lineRule="exact"/>
        <w:ind w:firstLine="408"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2018年5月4日至2018年6月21日期间，国巨以每股新台币73元为对价，公开收购君耀的股权。2018年8月底，国巨对君耀的持股比例（含取得可转换公司债后转换之股权）达87.12%</w:t>
      </w:r>
      <w:r>
        <w:rPr>
          <w:rFonts w:hint="eastAsia" w:ascii="微软雅黑" w:hAnsi="微软雅黑" w:eastAsia="微软雅黑" w:cs="微软雅黑"/>
          <w:sz w:val="21"/>
          <w:szCs w:val="21"/>
        </w:rPr>
        <w:t>。目前，国巨已经取得君耀100%股权。</w:t>
      </w:r>
    </w:p>
    <w:p>
      <w:pPr>
        <w:suppressAutoHyphens/>
        <w:overflowPunct w:val="0"/>
        <w:autoSpaceDE w:val="0"/>
        <w:autoSpaceDN w:val="0"/>
        <w:adjustRightInd w:val="0"/>
        <w:spacing w:line="500" w:lineRule="exact"/>
        <w:ind w:firstLine="406" w:firstLineChars="199"/>
        <w:rPr>
          <w:rFonts w:hint="eastAsia" w:ascii="微软雅黑" w:hAnsi="微软雅黑" w:eastAsia="微软雅黑" w:cs="微软雅黑"/>
          <w:sz w:val="21"/>
          <w:szCs w:val="21"/>
        </w:rPr>
      </w:pPr>
      <w:r>
        <w:rPr>
          <w:rFonts w:hint="eastAsia" w:ascii="微软雅黑" w:hAnsi="微软雅黑" w:eastAsia="微软雅黑" w:cs="微软雅黑"/>
          <w:sz w:val="21"/>
          <w:szCs w:val="21"/>
        </w:rPr>
        <w:t>二、违法事实及理由</w:t>
      </w:r>
    </w:p>
    <w:p>
      <w:pPr>
        <w:suppressAutoHyphens/>
        <w:overflowPunct w:val="0"/>
        <w:autoSpaceDE w:val="0"/>
        <w:autoSpaceDN w:val="0"/>
        <w:adjustRightInd w:val="0"/>
        <w:spacing w:line="500" w:lineRule="exact"/>
        <w:ind w:firstLine="408"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（一）本案构成未依法申报违法实施的经营者集中。</w:t>
      </w:r>
    </w:p>
    <w:p>
      <w:pPr>
        <w:suppressAutoHyphens/>
        <w:overflowPunct w:val="0"/>
        <w:autoSpaceDE w:val="0"/>
        <w:autoSpaceDN w:val="0"/>
        <w:adjustRightInd w:val="0"/>
        <w:spacing w:line="500" w:lineRule="exact"/>
        <w:ind w:firstLine="408"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国巨收购君耀股权并取得控制权</w:t>
      </w:r>
      <w:r>
        <w:rPr>
          <w:rFonts w:hint="eastAsia" w:ascii="微软雅黑" w:hAnsi="微软雅黑" w:eastAsia="微软雅黑" w:cs="微软雅黑"/>
          <w:sz w:val="21"/>
          <w:szCs w:val="21"/>
        </w:rPr>
        <w:t>，属于《反垄断法》第20条规定的经营者集中。国巨2017年度全球营业额为(略)，中国营业额为 (略)；君耀2017年度全球营业额为(略)，中国营业额为 (略)，达到《国务院关于经营者集中申报标准的规定》第3条规定的申报标准，属于应当申报的情形。</w:t>
      </w:r>
      <w:r>
        <w:rPr>
          <w:rFonts w:hint="eastAsia" w:ascii="微软雅黑" w:hAnsi="微软雅黑" w:eastAsia="微软雅黑" w:cs="微软雅黑"/>
          <w:sz w:val="21"/>
          <w:szCs w:val="21"/>
        </w:rPr>
        <w:t>2018年8月底，国巨对君耀的持股比例达87.12%</w:t>
      </w:r>
      <w:r>
        <w:rPr>
          <w:rFonts w:hint="eastAsia" w:ascii="微软雅黑" w:hAnsi="微软雅黑" w:eastAsia="微软雅黑" w:cs="微软雅黑"/>
          <w:sz w:val="21"/>
          <w:szCs w:val="21"/>
        </w:rPr>
        <w:t>，收购股份已交割过户，此前未依法申报，违反《反垄断法》第21条规定，构成未依法申报的经营者集中。</w:t>
      </w:r>
    </w:p>
    <w:p>
      <w:pPr>
        <w:suppressAutoHyphens/>
        <w:overflowPunct w:val="0"/>
        <w:autoSpaceDE w:val="0"/>
        <w:autoSpaceDN w:val="0"/>
        <w:adjustRightInd w:val="0"/>
        <w:spacing w:line="500" w:lineRule="exact"/>
        <w:ind w:firstLine="408"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（二）本案不具有排除、限制竞争的效果。</w:t>
      </w:r>
    </w:p>
    <w:p>
      <w:pPr>
        <w:suppressAutoHyphens/>
        <w:overflowPunct w:val="0"/>
        <w:autoSpaceDE w:val="0"/>
        <w:autoSpaceDN w:val="0"/>
        <w:adjustRightInd w:val="0"/>
        <w:spacing w:line="500" w:lineRule="exact"/>
        <w:ind w:firstLine="408"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本机关就国巨收购君耀股权对市场竞争的影响进行了评估，评估认为，该项经营者集中不会产生排除、限制竞争的效果。</w:t>
      </w:r>
    </w:p>
    <w:p>
      <w:pPr>
        <w:suppressAutoHyphens/>
        <w:overflowPunct w:val="0"/>
        <w:autoSpaceDE w:val="0"/>
        <w:autoSpaceDN w:val="0"/>
        <w:adjustRightInd w:val="0"/>
        <w:spacing w:line="500" w:lineRule="exact"/>
        <w:ind w:firstLine="408"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三、行政处罚依据和决定</w:t>
      </w:r>
    </w:p>
    <w:p>
      <w:pPr>
        <w:suppressAutoHyphens/>
        <w:overflowPunct w:val="0"/>
        <w:autoSpaceDE w:val="0"/>
        <w:autoSpaceDN w:val="0"/>
        <w:adjustRightInd w:val="0"/>
        <w:spacing w:line="500" w:lineRule="exact"/>
        <w:ind w:firstLine="408"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根据上述调查情况和评估结论,本机关根据《反垄断法》第48条、第49条和《暂行办法》第13条规定,对国巨处以30万元人民币罚款的行政处罚。</w:t>
      </w:r>
    </w:p>
    <w:p>
      <w:pPr>
        <w:suppressAutoHyphens/>
        <w:overflowPunct w:val="0"/>
        <w:autoSpaceDE w:val="0"/>
        <w:autoSpaceDN w:val="0"/>
        <w:adjustRightInd w:val="0"/>
        <w:spacing w:line="500" w:lineRule="exact"/>
        <w:ind w:firstLine="408"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依据《行政处罚法》第46条规定，当事方应当自收到本行政处罚决定书之日起十五日内，根据本行政处罚决定书，携缴款码到12家中央财政非税收入收缴代理银行（工、农、中、建、交、中信、光大、招商、邮储、华夏、平安、兴业）任一银行网点或者网上银行交纳罚款。缴款码：0000 0019 0018 8710。</w:t>
      </w:r>
    </w:p>
    <w:p>
      <w:pPr>
        <w:suppressAutoHyphens/>
        <w:overflowPunct w:val="0"/>
        <w:autoSpaceDE w:val="0"/>
        <w:autoSpaceDN w:val="0"/>
        <w:adjustRightInd w:val="0"/>
        <w:spacing w:line="500" w:lineRule="exact"/>
        <w:ind w:firstLine="408"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当事方如对上述行政处罚决定不服，可以自收到本行政处罚决定书之日起六十日内，向国家市场监督管理总局申请行政复议；或者自收到本行政处罚决定书之日起六个月内，依法向人民法院提起行政诉讼。行政复议或者行政诉讼期间，本行政处罚决定不停止执行。 </w:t>
      </w:r>
    </w:p>
    <w:p>
      <w:pPr>
        <w:suppressAutoHyphens/>
        <w:overflowPunct w:val="0"/>
        <w:autoSpaceDE w:val="0"/>
        <w:autoSpaceDN w:val="0"/>
        <w:adjustRightInd w:val="0"/>
        <w:spacing w:line="500" w:lineRule="exact"/>
        <w:ind w:firstLine="408" w:firstLineChars="200"/>
        <w:rPr>
          <w:rFonts w:hint="eastAsia" w:ascii="微软雅黑" w:hAnsi="微软雅黑" w:eastAsia="微软雅黑" w:cs="微软雅黑"/>
          <w:sz w:val="21"/>
          <w:szCs w:val="21"/>
        </w:rPr>
      </w:pPr>
    </w:p>
    <w:p>
      <w:pPr>
        <w:suppressAutoHyphens/>
        <w:overflowPunct w:val="0"/>
        <w:autoSpaceDE w:val="0"/>
        <w:autoSpaceDN w:val="0"/>
        <w:adjustRightInd w:val="0"/>
        <w:spacing w:line="500" w:lineRule="exact"/>
        <w:ind w:firstLine="408" w:firstLineChars="200"/>
        <w:rPr>
          <w:rFonts w:hint="eastAsia" w:ascii="微软雅黑" w:hAnsi="微软雅黑" w:eastAsia="微软雅黑" w:cs="微软雅黑"/>
          <w:sz w:val="21"/>
          <w:szCs w:val="21"/>
        </w:rPr>
      </w:pPr>
    </w:p>
    <w:p>
      <w:pPr>
        <w:suppressAutoHyphens/>
        <w:overflowPunct w:val="0"/>
        <w:autoSpaceDE w:val="0"/>
        <w:autoSpaceDN w:val="0"/>
        <w:adjustRightInd w:val="0"/>
        <w:spacing w:line="500" w:lineRule="exact"/>
        <w:ind w:firstLine="408" w:firstLineChars="200"/>
        <w:rPr>
          <w:rFonts w:hint="eastAsia" w:ascii="微软雅黑" w:hAnsi="微软雅黑" w:eastAsia="微软雅黑" w:cs="微软雅黑"/>
          <w:sz w:val="21"/>
          <w:szCs w:val="21"/>
        </w:rPr>
      </w:pPr>
    </w:p>
    <w:p>
      <w:pPr>
        <w:suppressAutoHyphens/>
        <w:overflowPunct w:val="0"/>
        <w:autoSpaceDE w:val="0"/>
        <w:autoSpaceDN w:val="0"/>
        <w:adjustRightInd w:val="0"/>
        <w:spacing w:line="500" w:lineRule="exact"/>
        <w:ind w:firstLine="408"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 </w:t>
      </w:r>
    </w:p>
    <w:p>
      <w:pPr>
        <w:snapToGrid w:val="0"/>
        <w:spacing w:line="540" w:lineRule="exact"/>
        <w:ind w:firstLine="3625" w:firstLineChars="1777"/>
        <w:jc w:val="right"/>
        <w:rPr>
          <w:rFonts w:hint="eastAsia" w:ascii="微软雅黑" w:hAnsi="微软雅黑" w:eastAsia="微软雅黑" w:cs="微软雅黑"/>
          <w:sz w:val="21"/>
          <w:szCs w:val="21"/>
        </w:rPr>
      </w:pPr>
      <w:r>
        <w:rPr>
          <w:rFonts w:hint="eastAsia" w:ascii="微软雅黑" w:hAnsi="微软雅黑" w:eastAsia="微软雅黑" w:cs="微软雅黑"/>
          <w:sz w:val="21"/>
          <w:szCs w:val="21"/>
        </w:rPr>
        <w:t>市场监管总局</w:t>
      </w:r>
    </w:p>
    <w:p>
      <w:pPr>
        <w:snapToGrid w:val="0"/>
        <w:spacing w:line="540" w:lineRule="exact"/>
        <w:ind w:firstLine="3491" w:firstLineChars="1711"/>
        <w:jc w:val="right"/>
        <w:rPr>
          <w:rFonts w:hint="eastAsia" w:ascii="微软雅黑" w:hAnsi="微软雅黑" w:eastAsia="微软雅黑" w:cs="微软雅黑"/>
          <w:sz w:val="21"/>
          <w:szCs w:val="21"/>
        </w:rPr>
      </w:pPr>
      <w:r>
        <w:rPr>
          <w:rFonts w:hint="eastAsia" w:ascii="微软雅黑" w:hAnsi="微软雅黑" w:eastAsia="微软雅黑" w:cs="微软雅黑"/>
          <w:sz w:val="21"/>
          <w:szCs w:val="21"/>
        </w:rPr>
        <w:t>2019年6月25日</w:t>
      </w:r>
    </w:p>
    <w:p>
      <w:pPr>
        <w:spacing w:line="540" w:lineRule="exact"/>
        <w:ind w:firstLine="408"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（此件公开发布）</w:t>
      </w:r>
    </w:p>
    <w:p>
      <w:pPr>
        <w:spacing w:line="540" w:lineRule="exact"/>
        <w:ind w:firstLine="408"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附件下载</w:t>
      </w:r>
    </w:p>
    <w:p>
      <w:pPr>
        <w:spacing w:line="540" w:lineRule="exact"/>
        <w:ind w:firstLine="408"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行政处罚决定书（国市监处〔2019〕19号）.docx</w:t>
      </w:r>
    </w:p>
    <w:p/>
    <w:bookmarkEnd w:id="0"/>
    <w:sectPr>
      <w:footerReference r:id="rId3" w:type="default"/>
      <w:footerReference r:id="rId4" w:type="even"/>
      <w:pgSz w:w="11906" w:h="16838"/>
      <w:pgMar w:top="2098" w:right="1474" w:bottom="1985" w:left="1474" w:header="851" w:footer="1644" w:gutter="0"/>
      <w:cols w:space="720" w:num="1"/>
      <w:docGrid w:type="linesAndChars" w:linePitch="289" w:charSpace="-13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315" w:leftChars="150" w:right="315" w:rightChars="150"/>
      <w:rPr>
        <w:rStyle w:val="6"/>
        <w:rFonts w:hint="eastAsia" w:ascii="宋体" w:hAnsi="宋体"/>
        <w:sz w:val="28"/>
        <w:szCs w:val="28"/>
      </w:rPr>
    </w:pPr>
    <w:r>
      <w:rPr>
        <w:rStyle w:val="6"/>
        <w:rFonts w:hint="eastAsia" w:ascii="宋体" w:hAnsi="宋体"/>
        <w:sz w:val="28"/>
        <w:szCs w:val="28"/>
      </w:rPr>
      <w:t xml:space="preserve">— </w:t>
    </w:r>
    <w:r>
      <w:rPr>
        <w:rStyle w:val="6"/>
        <w:rFonts w:ascii="宋体" w:hAnsi="宋体"/>
        <w:sz w:val="28"/>
        <w:szCs w:val="28"/>
      </w:rPr>
      <w:fldChar w:fldCharType="begin"/>
    </w:r>
    <w:r>
      <w:rPr>
        <w:rStyle w:val="6"/>
        <w:rFonts w:ascii="宋体" w:hAnsi="宋体"/>
        <w:sz w:val="28"/>
        <w:szCs w:val="28"/>
      </w:rPr>
      <w:instrText xml:space="preserve">PAGE  </w:instrText>
    </w:r>
    <w:r>
      <w:rPr>
        <w:rStyle w:val="6"/>
        <w:rFonts w:ascii="宋体" w:hAnsi="宋体"/>
        <w:sz w:val="28"/>
        <w:szCs w:val="28"/>
      </w:rPr>
      <w:fldChar w:fldCharType="separate"/>
    </w:r>
    <w:r>
      <w:rPr>
        <w:rStyle w:val="6"/>
        <w:rFonts w:ascii="宋体" w:hAnsi="宋体"/>
        <w:sz w:val="28"/>
        <w:szCs w:val="28"/>
      </w:rPr>
      <w:t>1</w:t>
    </w:r>
    <w:r>
      <w:rPr>
        <w:rStyle w:val="6"/>
        <w:rFonts w:ascii="宋体" w:hAnsi="宋体"/>
        <w:sz w:val="28"/>
        <w:szCs w:val="28"/>
      </w:rPr>
      <w:fldChar w:fldCharType="end"/>
    </w:r>
    <w:r>
      <w:rPr>
        <w:rStyle w:val="6"/>
        <w:rFonts w:hint="eastAsia" w:ascii="宋体" w:hAnsi="宋体"/>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rPr>
        <w:rStyle w:val="6"/>
      </w:rPr>
      <w:fldChar w:fldCharType="begin"/>
    </w:r>
    <w:r>
      <w:rPr>
        <w:rStyle w:val="6"/>
      </w:rPr>
      <w:instrText xml:space="preserve">PAGE  </w:instrText>
    </w:r>
    <w:r>
      <w:rPr>
        <w:rStyle w:val="6"/>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D46"/>
    <w:rsid w:val="003B4D46"/>
    <w:rsid w:val="00733A88"/>
    <w:rsid w:val="009A1F07"/>
    <w:rsid w:val="00CD7EE4"/>
    <w:rsid w:val="1BEB56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page number"/>
    <w:basedOn w:val="5"/>
    <w:uiPriority w:val="0"/>
  </w:style>
  <w:style w:type="character" w:customStyle="1" w:styleId="7">
    <w:name w:val="页眉 Char"/>
    <w:basedOn w:val="5"/>
    <w:link w:val="3"/>
    <w:uiPriority w:val="99"/>
    <w:rPr>
      <w:sz w:val="18"/>
      <w:szCs w:val="18"/>
    </w:rPr>
  </w:style>
  <w:style w:type="character" w:customStyle="1" w:styleId="8">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212</Words>
  <Characters>1211</Characters>
  <Lines>10</Lines>
  <Paragraphs>2</Paragraphs>
  <TotalTime>4</TotalTime>
  <ScaleCrop>false</ScaleCrop>
  <LinksUpToDate>false</LinksUpToDate>
  <CharactersWithSpaces>1421</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2019-07-09T07:11:00Z</dcterms:created>
  <dc:creator>NTKO</dc:creator>
  <cp:lastModifiedBy>陈永仁</cp:lastModifiedBy>
  <dcterms:modified xsi:type="dcterms:W3CDTF">2020-09-27T02:53:05Z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